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EFF2D" w14:textId="622B58B3" w:rsidR="008433B6" w:rsidRDefault="00762FA9" w:rsidP="008433B6">
      <w:pPr>
        <w:rPr>
          <w:rFonts w:eastAsia="Times New Roman" w:cs="Times New Roman"/>
          <w:b/>
          <w:sz w:val="17"/>
          <w:szCs w:val="20"/>
          <w:lang w:eastAsia="en-US"/>
        </w:rPr>
      </w:pPr>
      <w:bookmarkStart w:id="0" w:name="_GoBack"/>
      <w:bookmarkEnd w:id="0"/>
      <w:r w:rsidRPr="00DE57D2">
        <w:rPr>
          <w:noProof/>
          <w:sz w:val="20"/>
          <w:szCs w:val="20"/>
        </w:rPr>
        <w:drawing>
          <wp:inline distT="0" distB="0" distL="0" distR="0" wp14:anchorId="134B3E2E" wp14:editId="489D20E2">
            <wp:extent cx="1719580" cy="76055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738190" cy="768781"/>
                    </a:xfrm>
                    <a:prstGeom prst="rect">
                      <a:avLst/>
                    </a:prstGeom>
                    <a:noFill/>
                    <a:ln w="9525">
                      <a:noFill/>
                      <a:miter lim="800000"/>
                      <a:headEnd/>
                      <a:tailEnd/>
                    </a:ln>
                  </pic:spPr>
                </pic:pic>
              </a:graphicData>
            </a:graphic>
          </wp:inline>
        </w:drawing>
      </w:r>
    </w:p>
    <w:p w14:paraId="0AA04681" w14:textId="77777777" w:rsidR="008433B6" w:rsidRPr="008433B6" w:rsidRDefault="008433B6" w:rsidP="008433B6">
      <w:pPr>
        <w:jc w:val="right"/>
        <w:rPr>
          <w:b/>
          <w:sz w:val="36"/>
          <w:szCs w:val="36"/>
        </w:rPr>
      </w:pPr>
      <w:r w:rsidRPr="008433B6">
        <w:rPr>
          <w:rFonts w:eastAsia="Times New Roman" w:cs="Times New Roman"/>
          <w:b/>
          <w:sz w:val="17"/>
          <w:szCs w:val="20"/>
          <w:lang w:eastAsia="en-US"/>
        </w:rPr>
        <w:t>In</w:t>
      </w:r>
      <w:r>
        <w:rPr>
          <w:rFonts w:eastAsia="Times New Roman" w:cs="Times New Roman"/>
          <w:b/>
          <w:sz w:val="17"/>
          <w:szCs w:val="20"/>
          <w:lang w:eastAsia="en-US"/>
        </w:rPr>
        <w:t>formation Exchange Committee</w:t>
      </w:r>
      <w:r w:rsidRPr="008433B6">
        <w:rPr>
          <w:rFonts w:eastAsia="Times New Roman" w:cs="Times New Roman"/>
          <w:b/>
          <w:sz w:val="17"/>
          <w:szCs w:val="20"/>
          <w:lang w:eastAsia="en-US"/>
        </w:rPr>
        <w:br/>
      </w:r>
      <w:r w:rsidRPr="008433B6">
        <w:rPr>
          <w:rFonts w:eastAsia="Times New Roman" w:cs="Times New Roman"/>
          <w:sz w:val="17"/>
          <w:szCs w:val="20"/>
          <w:lang w:eastAsia="en-US"/>
        </w:rPr>
        <w:t>C/ - IEC Secretariat – AEMO Ltd</w:t>
      </w:r>
    </w:p>
    <w:p w14:paraId="41BD7EBB" w14:textId="77777777" w:rsidR="008433B6" w:rsidRPr="008433B6" w:rsidRDefault="008433B6" w:rsidP="008433B6">
      <w:pPr>
        <w:spacing w:after="0" w:line="240" w:lineRule="auto"/>
        <w:jc w:val="right"/>
        <w:rPr>
          <w:rFonts w:eastAsia="Times New Roman" w:cs="Times New Roman"/>
          <w:sz w:val="14"/>
          <w:szCs w:val="14"/>
        </w:rPr>
      </w:pPr>
      <w:r w:rsidRPr="008433B6">
        <w:rPr>
          <w:rFonts w:eastAsia="Times New Roman" w:cs="Times New Roman"/>
          <w:sz w:val="14"/>
          <w:szCs w:val="14"/>
        </w:rPr>
        <w:t>Level 22</w:t>
      </w:r>
      <w:r w:rsidRPr="008433B6">
        <w:rPr>
          <w:rFonts w:eastAsia="Times New Roman" w:cs="Times New Roman"/>
          <w:sz w:val="14"/>
          <w:szCs w:val="14"/>
        </w:rPr>
        <w:br/>
        <w:t>530 Collins Street</w:t>
      </w:r>
      <w:r w:rsidRPr="008433B6">
        <w:rPr>
          <w:rFonts w:eastAsia="Times New Roman" w:cs="Times New Roman"/>
          <w:sz w:val="14"/>
          <w:szCs w:val="14"/>
        </w:rPr>
        <w:br/>
        <w:t>Melbourne VIC 3000</w:t>
      </w:r>
    </w:p>
    <w:p w14:paraId="1DB3AACC" w14:textId="77777777" w:rsidR="008433B6" w:rsidRPr="008433B6" w:rsidRDefault="008433B6" w:rsidP="008433B6">
      <w:pPr>
        <w:spacing w:after="0" w:line="240" w:lineRule="auto"/>
        <w:jc w:val="right"/>
        <w:rPr>
          <w:rFonts w:eastAsia="Times New Roman" w:cs="Times New Roman"/>
          <w:sz w:val="10"/>
          <w:szCs w:val="14"/>
        </w:rPr>
      </w:pPr>
    </w:p>
    <w:p w14:paraId="10AC05F1" w14:textId="77777777" w:rsidR="008433B6" w:rsidRPr="008433B6" w:rsidRDefault="008433B6" w:rsidP="008433B6">
      <w:pPr>
        <w:spacing w:after="0" w:line="240" w:lineRule="auto"/>
        <w:jc w:val="right"/>
        <w:rPr>
          <w:rFonts w:eastAsia="Times New Roman" w:cs="Times New Roman"/>
          <w:sz w:val="14"/>
          <w:szCs w:val="14"/>
        </w:rPr>
      </w:pPr>
      <w:r w:rsidRPr="008433B6">
        <w:rPr>
          <w:rFonts w:eastAsia="Times New Roman" w:cs="Times New Roman"/>
          <w:b/>
          <w:sz w:val="14"/>
          <w:szCs w:val="14"/>
        </w:rPr>
        <w:t>Postal Address</w:t>
      </w:r>
      <w:r w:rsidR="00266CE3" w:rsidRPr="008433B6">
        <w:rPr>
          <w:rFonts w:eastAsia="Times New Roman" w:cs="Times New Roman"/>
          <w:b/>
          <w:sz w:val="14"/>
          <w:szCs w:val="14"/>
        </w:rPr>
        <w:t xml:space="preserve">: </w:t>
      </w:r>
      <w:r w:rsidRPr="008433B6">
        <w:rPr>
          <w:rFonts w:eastAsia="Times New Roman" w:cs="Times New Roman"/>
          <w:b/>
          <w:sz w:val="14"/>
          <w:szCs w:val="14"/>
        </w:rPr>
        <w:br/>
      </w:r>
      <w:r w:rsidRPr="008433B6">
        <w:rPr>
          <w:rFonts w:eastAsia="Times New Roman" w:cs="Times New Roman"/>
          <w:sz w:val="14"/>
          <w:szCs w:val="14"/>
        </w:rPr>
        <w:t>GPO Box 2008</w:t>
      </w:r>
      <w:r w:rsidRPr="008433B6">
        <w:rPr>
          <w:rFonts w:eastAsia="Times New Roman" w:cs="Times New Roman"/>
          <w:sz w:val="14"/>
          <w:szCs w:val="14"/>
        </w:rPr>
        <w:br/>
        <w:t>Melbourne VIC 3001</w:t>
      </w:r>
    </w:p>
    <w:p w14:paraId="326C9A03" w14:textId="77777777" w:rsidR="008433B6" w:rsidRPr="008433B6" w:rsidRDefault="008433B6" w:rsidP="008433B6">
      <w:pPr>
        <w:spacing w:after="0" w:line="240" w:lineRule="auto"/>
        <w:jc w:val="right"/>
        <w:rPr>
          <w:rFonts w:eastAsia="Times New Roman" w:cs="Times New Roman"/>
          <w:sz w:val="10"/>
          <w:szCs w:val="14"/>
        </w:rPr>
      </w:pPr>
    </w:p>
    <w:p w14:paraId="0B5D260E" w14:textId="77777777" w:rsidR="008433B6" w:rsidRPr="008433B6" w:rsidRDefault="008433B6" w:rsidP="008433B6">
      <w:pPr>
        <w:spacing w:after="0" w:line="240" w:lineRule="auto"/>
        <w:jc w:val="right"/>
        <w:rPr>
          <w:rFonts w:eastAsia="Times New Roman" w:cs="Times New Roman"/>
          <w:sz w:val="14"/>
          <w:szCs w:val="14"/>
        </w:rPr>
      </w:pPr>
      <w:r w:rsidRPr="008433B6">
        <w:rPr>
          <w:rFonts w:eastAsia="Times New Roman" w:cs="Times New Roman"/>
          <w:sz w:val="14"/>
          <w:szCs w:val="14"/>
        </w:rPr>
        <w:t>T    1300 858724</w:t>
      </w:r>
      <w:r w:rsidRPr="008433B6">
        <w:rPr>
          <w:rFonts w:eastAsia="Times New Roman" w:cs="Times New Roman"/>
          <w:sz w:val="14"/>
          <w:szCs w:val="14"/>
        </w:rPr>
        <w:br/>
        <w:t>F   03 9609 8080</w:t>
      </w:r>
    </w:p>
    <w:p w14:paraId="0F89AD12" w14:textId="77777777" w:rsidR="008433B6" w:rsidRDefault="008433B6" w:rsidP="00762FA9">
      <w:pPr>
        <w:rPr>
          <w:b/>
          <w:sz w:val="36"/>
          <w:szCs w:val="36"/>
        </w:rPr>
      </w:pPr>
    </w:p>
    <w:p w14:paraId="2FC1580B" w14:textId="77777777" w:rsidR="00762FA9" w:rsidRDefault="00762FA9" w:rsidP="008B1F51">
      <w:pPr>
        <w:jc w:val="center"/>
        <w:rPr>
          <w:b/>
          <w:sz w:val="36"/>
          <w:szCs w:val="36"/>
        </w:rPr>
      </w:pPr>
    </w:p>
    <w:p w14:paraId="275B62EF" w14:textId="77777777" w:rsidR="00762FA9" w:rsidRDefault="006E7AC3" w:rsidP="00762FA9">
      <w:pPr>
        <w:rPr>
          <w:b/>
          <w:sz w:val="36"/>
          <w:szCs w:val="36"/>
        </w:rPr>
      </w:pPr>
      <w:r>
        <w:rPr>
          <w:sz w:val="56"/>
          <w:szCs w:val="56"/>
        </w:rPr>
        <w:t>Information Exchange Committee (</w:t>
      </w:r>
      <w:r w:rsidR="00762FA9" w:rsidRPr="00406878">
        <w:rPr>
          <w:sz w:val="56"/>
          <w:szCs w:val="56"/>
        </w:rPr>
        <w:t>IEC</w:t>
      </w:r>
      <w:r>
        <w:rPr>
          <w:sz w:val="56"/>
          <w:szCs w:val="56"/>
        </w:rPr>
        <w:t>)</w:t>
      </w:r>
      <w:r w:rsidR="00762FA9" w:rsidRPr="00406878">
        <w:rPr>
          <w:sz w:val="56"/>
          <w:szCs w:val="56"/>
        </w:rPr>
        <w:t xml:space="preserve"> Annual Report</w:t>
      </w:r>
      <w:r w:rsidR="00762FA9" w:rsidRPr="00406878">
        <w:rPr>
          <w:sz w:val="56"/>
          <w:szCs w:val="56"/>
        </w:rPr>
        <w:br/>
        <w:t>Period ending 31 December 201</w:t>
      </w:r>
      <w:r w:rsidR="004C560D">
        <w:rPr>
          <w:sz w:val="56"/>
          <w:szCs w:val="56"/>
        </w:rPr>
        <w:t>8</w:t>
      </w:r>
    </w:p>
    <w:p w14:paraId="77EF227E" w14:textId="77777777" w:rsidR="00762FA9" w:rsidRDefault="00762FA9" w:rsidP="008B1F51">
      <w:pPr>
        <w:jc w:val="center"/>
        <w:rPr>
          <w:b/>
          <w:sz w:val="36"/>
          <w:szCs w:val="36"/>
        </w:rPr>
      </w:pPr>
    </w:p>
    <w:p w14:paraId="2C0B3A67" w14:textId="77777777" w:rsidR="00762FA9" w:rsidRDefault="00762FA9" w:rsidP="008B1F51">
      <w:pPr>
        <w:jc w:val="center"/>
        <w:rPr>
          <w:b/>
          <w:sz w:val="36"/>
          <w:szCs w:val="36"/>
        </w:rPr>
      </w:pPr>
    </w:p>
    <w:p w14:paraId="45CC5A5C" w14:textId="77777777" w:rsidR="00762FA9" w:rsidRDefault="00762FA9" w:rsidP="008B1F51">
      <w:pPr>
        <w:jc w:val="center"/>
        <w:rPr>
          <w:b/>
          <w:sz w:val="36"/>
          <w:szCs w:val="36"/>
        </w:rPr>
      </w:pPr>
    </w:p>
    <w:p w14:paraId="4BB34633" w14:textId="77777777" w:rsidR="00762FA9" w:rsidRDefault="00762FA9" w:rsidP="008B1F51">
      <w:pPr>
        <w:jc w:val="center"/>
        <w:rPr>
          <w:b/>
          <w:sz w:val="36"/>
          <w:szCs w:val="36"/>
        </w:rPr>
      </w:pPr>
    </w:p>
    <w:p w14:paraId="3798F702" w14:textId="77777777" w:rsidR="00762FA9" w:rsidRDefault="00762FA9" w:rsidP="008B1F51">
      <w:pPr>
        <w:jc w:val="center"/>
        <w:rPr>
          <w:b/>
          <w:sz w:val="36"/>
          <w:szCs w:val="36"/>
        </w:rPr>
      </w:pPr>
    </w:p>
    <w:p w14:paraId="0248D176" w14:textId="77777777" w:rsidR="00762FA9" w:rsidRDefault="00762FA9" w:rsidP="008B1F51">
      <w:pPr>
        <w:jc w:val="center"/>
        <w:rPr>
          <w:b/>
          <w:sz w:val="36"/>
          <w:szCs w:val="36"/>
        </w:rPr>
      </w:pPr>
    </w:p>
    <w:p w14:paraId="3E984527" w14:textId="77777777" w:rsidR="00762FA9" w:rsidRDefault="00762FA9" w:rsidP="008B1F51">
      <w:pPr>
        <w:jc w:val="center"/>
        <w:rPr>
          <w:b/>
          <w:sz w:val="36"/>
          <w:szCs w:val="36"/>
        </w:rPr>
      </w:pPr>
    </w:p>
    <w:p w14:paraId="72A1C63A" w14:textId="77777777" w:rsidR="00762FA9" w:rsidRDefault="00762FA9" w:rsidP="006F5829">
      <w:pPr>
        <w:rPr>
          <w:b/>
          <w:sz w:val="36"/>
          <w:szCs w:val="36"/>
        </w:rPr>
      </w:pPr>
    </w:p>
    <w:p w14:paraId="433EA6D7" w14:textId="77777777" w:rsidR="00762FA9" w:rsidRDefault="00762FA9" w:rsidP="008B1F51">
      <w:pPr>
        <w:jc w:val="center"/>
        <w:rPr>
          <w:b/>
          <w:sz w:val="36"/>
          <w:szCs w:val="36"/>
        </w:rPr>
      </w:pPr>
    </w:p>
    <w:p w14:paraId="5593650A" w14:textId="77777777" w:rsidR="000B6644" w:rsidRPr="00263990" w:rsidRDefault="000B6644" w:rsidP="00263990">
      <w:pPr>
        <w:pStyle w:val="ListParagraph"/>
        <w:numPr>
          <w:ilvl w:val="0"/>
          <w:numId w:val="6"/>
        </w:numPr>
        <w:spacing w:before="120" w:after="120"/>
        <w:rPr>
          <w:b/>
        </w:rPr>
      </w:pPr>
      <w:r w:rsidRPr="00263990">
        <w:rPr>
          <w:b/>
        </w:rPr>
        <w:t>INTRODUCTION</w:t>
      </w:r>
    </w:p>
    <w:p w14:paraId="12980FCB" w14:textId="77777777" w:rsidR="009C20B3" w:rsidRDefault="000B6644" w:rsidP="009113F1">
      <w:r>
        <w:t>Under the National Electricity Rules</w:t>
      </w:r>
      <w:r w:rsidR="00A06252">
        <w:t xml:space="preserve"> (NER)</w:t>
      </w:r>
      <w:r>
        <w:t>, t</w:t>
      </w:r>
      <w:r w:rsidR="00816C6A" w:rsidRPr="000B6644">
        <w:t xml:space="preserve">he Information Exchange Committee (IEC) </w:t>
      </w:r>
      <w:r>
        <w:t xml:space="preserve">is responsible for </w:t>
      </w:r>
      <w:r w:rsidR="009113F1">
        <w:t>developing,</w:t>
      </w:r>
      <w:r>
        <w:t xml:space="preserve"> consulting</w:t>
      </w:r>
      <w:r w:rsidR="009113F1">
        <w:t>, and making recommendations</w:t>
      </w:r>
      <w:r>
        <w:t xml:space="preserve"> on changes to the electricity retail </w:t>
      </w:r>
      <w:r w:rsidR="00816C6A" w:rsidRPr="002879D6">
        <w:t xml:space="preserve">market </w:t>
      </w:r>
      <w:r w:rsidR="00DE57D2">
        <w:t>B2B Procedure</w:t>
      </w:r>
      <w:r w:rsidR="006E7D89">
        <w:t>s</w:t>
      </w:r>
      <w:r w:rsidR="00816C6A">
        <w:t xml:space="preserve">. The Committee and </w:t>
      </w:r>
      <w:r w:rsidR="00DE57D2">
        <w:t xml:space="preserve">its </w:t>
      </w:r>
      <w:r w:rsidR="009C20B3">
        <w:t xml:space="preserve">B2B </w:t>
      </w:r>
      <w:r w:rsidR="00F61AA5">
        <w:t>W</w:t>
      </w:r>
      <w:r w:rsidR="00DE57D2">
        <w:t xml:space="preserve">orking </w:t>
      </w:r>
      <w:r w:rsidR="00F61AA5">
        <w:t>G</w:t>
      </w:r>
      <w:r w:rsidR="00DE57D2">
        <w:t>roup</w:t>
      </w:r>
      <w:r w:rsidR="00F61AA5">
        <w:t xml:space="preserve"> (B2BWG)</w:t>
      </w:r>
      <w:r w:rsidR="00816C6A">
        <w:t xml:space="preserve"> respond to reform initiatives affecting the operation of </w:t>
      </w:r>
      <w:r w:rsidR="00DE57D2">
        <w:t xml:space="preserve">B2B Procedures in </w:t>
      </w:r>
      <w:r w:rsidR="00816C6A">
        <w:t xml:space="preserve">the </w:t>
      </w:r>
      <w:r w:rsidR="009C20B3">
        <w:t xml:space="preserve">electricity </w:t>
      </w:r>
      <w:r w:rsidR="00816C6A">
        <w:t>retail market, and initiate specific</w:t>
      </w:r>
      <w:r w:rsidR="00F61AA5">
        <w:t>,</w:t>
      </w:r>
      <w:r w:rsidR="00816C6A">
        <w:t xml:space="preserve"> continuous improvement programs to enhance retail market </w:t>
      </w:r>
      <w:r w:rsidR="00DE57D2">
        <w:t xml:space="preserve">B2B </w:t>
      </w:r>
      <w:r w:rsidR="00816C6A">
        <w:t xml:space="preserve">business processes.  </w:t>
      </w:r>
    </w:p>
    <w:p w14:paraId="6EA2AC72" w14:textId="77777777" w:rsidR="009C20B3" w:rsidRDefault="00A06252" w:rsidP="00062047">
      <w:pPr>
        <w:spacing w:after="120"/>
      </w:pPr>
      <w:bookmarkStart w:id="1" w:name="_Hlk532800715"/>
      <w:r>
        <w:t>Under the NER</w:t>
      </w:r>
      <w:r w:rsidR="009C20B3">
        <w:t xml:space="preserve">, each </w:t>
      </w:r>
      <w:r w:rsidR="002530EE">
        <w:t>calendar</w:t>
      </w:r>
      <w:r w:rsidR="009C20B3">
        <w:t xml:space="preserve"> year the IEC is </w:t>
      </w:r>
      <w:r w:rsidR="00F61AA5">
        <w:t xml:space="preserve">required </w:t>
      </w:r>
      <w:r w:rsidR="009C20B3">
        <w:t xml:space="preserve">to develop an </w:t>
      </w:r>
      <w:r w:rsidR="00F61AA5">
        <w:t>A</w:t>
      </w:r>
      <w:r w:rsidR="009C20B3">
        <w:t xml:space="preserve">nnual </w:t>
      </w:r>
      <w:r w:rsidR="00F61AA5">
        <w:t>R</w:t>
      </w:r>
      <w:r w:rsidR="009C20B3">
        <w:t>eport covering:</w:t>
      </w:r>
    </w:p>
    <w:p w14:paraId="71BE791D" w14:textId="77777777" w:rsidR="009C20B3" w:rsidRDefault="00A82648" w:rsidP="00263990">
      <w:pPr>
        <w:pStyle w:val="ListParagraph"/>
        <w:numPr>
          <w:ilvl w:val="0"/>
          <w:numId w:val="7"/>
        </w:numPr>
        <w:spacing w:before="120" w:after="120"/>
      </w:pPr>
      <w:r>
        <w:t>A review of the performance of the IEC function duri</w:t>
      </w:r>
      <w:r w:rsidR="00380CB5">
        <w:t xml:space="preserve">ng the year, including </w:t>
      </w:r>
      <w:r w:rsidR="002530EE">
        <w:t>significant</w:t>
      </w:r>
      <w:r>
        <w:t xml:space="preserve"> issues considered, work undertaken and the IEC Work Programme and status of that work</w:t>
      </w:r>
      <w:r w:rsidR="00155AE6">
        <w:t>;</w:t>
      </w:r>
      <w:r>
        <w:t xml:space="preserve"> </w:t>
      </w:r>
    </w:p>
    <w:p w14:paraId="3339365C" w14:textId="77777777" w:rsidR="00A82648" w:rsidRDefault="00A82648" w:rsidP="00263990">
      <w:pPr>
        <w:pStyle w:val="ListParagraph"/>
        <w:numPr>
          <w:ilvl w:val="0"/>
          <w:numId w:val="7"/>
        </w:numPr>
        <w:spacing w:before="120" w:after="120"/>
      </w:pPr>
      <w:r>
        <w:t>Details of changes to B2B</w:t>
      </w:r>
      <w:r w:rsidR="00380CB5">
        <w:t xml:space="preserve"> </w:t>
      </w:r>
      <w:r w:rsidR="00F61AA5">
        <w:t>P</w:t>
      </w:r>
      <w:r w:rsidR="00380CB5">
        <w:t>rocedures, the reason for tho</w:t>
      </w:r>
      <w:r>
        <w:t xml:space="preserve">se changes and an assessment of the impact of those changes; </w:t>
      </w:r>
    </w:p>
    <w:p w14:paraId="34E745C2" w14:textId="77777777" w:rsidR="00A82648" w:rsidRDefault="00A82648" w:rsidP="00263990">
      <w:pPr>
        <w:pStyle w:val="ListParagraph"/>
        <w:numPr>
          <w:ilvl w:val="0"/>
          <w:numId w:val="7"/>
        </w:numPr>
        <w:spacing w:before="120" w:after="120"/>
      </w:pPr>
      <w:r>
        <w:t>Outline the key priorities and strategic objectives for the future; and</w:t>
      </w:r>
    </w:p>
    <w:p w14:paraId="276BF141" w14:textId="77777777" w:rsidR="00A82648" w:rsidRDefault="00A82648" w:rsidP="00263990">
      <w:pPr>
        <w:pStyle w:val="ListParagraph"/>
        <w:numPr>
          <w:ilvl w:val="0"/>
          <w:numId w:val="7"/>
        </w:numPr>
        <w:spacing w:before="120" w:after="120"/>
      </w:pPr>
      <w:r>
        <w:t xml:space="preserve">An indicative schedule of meetings for the </w:t>
      </w:r>
      <w:r w:rsidR="00380CB5">
        <w:t>u</w:t>
      </w:r>
      <w:r>
        <w:t xml:space="preserve">pcoming year and an indicative plan of key deliverables for the upcoming year.  </w:t>
      </w:r>
    </w:p>
    <w:p w14:paraId="731312EB" w14:textId="77777777" w:rsidR="00A82648" w:rsidRDefault="00816C6A" w:rsidP="009113F1">
      <w:r>
        <w:t xml:space="preserve">This </w:t>
      </w:r>
      <w:r w:rsidR="00985AB9">
        <w:t>report</w:t>
      </w:r>
      <w:r w:rsidR="00EF1876">
        <w:t xml:space="preserve"> </w:t>
      </w:r>
      <w:r w:rsidR="00DE57D2">
        <w:t>summarises key accomplishments for 201</w:t>
      </w:r>
      <w:r w:rsidR="00F61AA5">
        <w:t>8</w:t>
      </w:r>
      <w:r w:rsidR="00DE57D2">
        <w:t xml:space="preserve"> and </w:t>
      </w:r>
      <w:r w:rsidR="008B1F51">
        <w:t>looks forw</w:t>
      </w:r>
      <w:r w:rsidR="0024386A">
        <w:t>ard to the major themes for 201</w:t>
      </w:r>
      <w:r w:rsidR="00F61AA5">
        <w:t>9</w:t>
      </w:r>
      <w:r>
        <w:t>.</w:t>
      </w:r>
    </w:p>
    <w:bookmarkEnd w:id="1"/>
    <w:p w14:paraId="3DC9A613" w14:textId="77777777" w:rsidR="00C407D2" w:rsidRPr="00971D89" w:rsidRDefault="00C407D2" w:rsidP="00263990">
      <w:pPr>
        <w:pStyle w:val="ListParagraph"/>
        <w:numPr>
          <w:ilvl w:val="0"/>
          <w:numId w:val="6"/>
        </w:numPr>
        <w:rPr>
          <w:b/>
        </w:rPr>
      </w:pPr>
      <w:r>
        <w:rPr>
          <w:b/>
        </w:rPr>
        <w:t xml:space="preserve">ACCOMPLISHMENTS </w:t>
      </w:r>
      <w:r w:rsidR="004359D8">
        <w:rPr>
          <w:b/>
        </w:rPr>
        <w:t xml:space="preserve">AND ACTIVITIIES </w:t>
      </w:r>
      <w:r>
        <w:rPr>
          <w:b/>
        </w:rPr>
        <w:t>FOR 201</w:t>
      </w:r>
      <w:r w:rsidR="0065495B">
        <w:rPr>
          <w:b/>
        </w:rPr>
        <w:t>8</w:t>
      </w:r>
    </w:p>
    <w:p w14:paraId="7BF50589" w14:textId="1D63D940" w:rsidR="00193A22" w:rsidRDefault="00D35DC5" w:rsidP="00263990">
      <w:r>
        <w:t xml:space="preserve">2018 has been a both a strategically important, and challenging year. </w:t>
      </w:r>
      <w:r w:rsidR="008E7D7F">
        <w:t xml:space="preserve">With the implementation of the Power of Choice (PoC) </w:t>
      </w:r>
      <w:r w:rsidR="0070524B">
        <w:t>framework</w:t>
      </w:r>
      <w:r w:rsidR="008E7D7F">
        <w:t xml:space="preserve"> on 1 December 2017, participants needed to work together collaboratively to make the significant adjustment </w:t>
      </w:r>
      <w:r w:rsidR="0048073E">
        <w:t>that resulted</w:t>
      </w:r>
      <w:r w:rsidR="008E7D7F">
        <w:t xml:space="preserve"> from a new metering participant category and </w:t>
      </w:r>
      <w:r w:rsidR="00193A22">
        <w:t>wide-reaching</w:t>
      </w:r>
      <w:r w:rsidR="008E7D7F">
        <w:t xml:space="preserve"> changes in obligations across all electricity market participants.</w:t>
      </w:r>
      <w:r w:rsidR="00193A22">
        <w:t xml:space="preserve"> Refinement of the PoC B2B procedural framework will </w:t>
      </w:r>
      <w:r w:rsidR="0048073E">
        <w:t xml:space="preserve">also </w:t>
      </w:r>
      <w:r w:rsidR="00193A22">
        <w:t>continue during 2019 (</w:t>
      </w:r>
      <w:r w:rsidR="00220ED1">
        <w:t xml:space="preserve">Section </w:t>
      </w:r>
      <w:r w:rsidR="00193A22" w:rsidRPr="00220ED1">
        <w:t>2.</w:t>
      </w:r>
      <w:r w:rsidR="00220ED1" w:rsidRPr="00220ED1">
        <w:t>3</w:t>
      </w:r>
      <w:r w:rsidR="00193A22" w:rsidRPr="00220ED1">
        <w:t>).</w:t>
      </w:r>
    </w:p>
    <w:p w14:paraId="01E2426C" w14:textId="1A923C80" w:rsidR="00193A22" w:rsidRDefault="00193A22" w:rsidP="00263990">
      <w:r>
        <w:t xml:space="preserve">In addition to the </w:t>
      </w:r>
      <w:r w:rsidR="00343FBF">
        <w:t xml:space="preserve">ongoing refinement of PoC operationally, there were a number of other significant determinations finalised and consultations initiated by the Australian Energy Market Commission (AEMC) which have </w:t>
      </w:r>
      <w:proofErr w:type="gramStart"/>
      <w:r w:rsidR="00343FBF">
        <w:t>had, and</w:t>
      </w:r>
      <w:proofErr w:type="gramEnd"/>
      <w:r w:rsidR="00343FBF">
        <w:t xml:space="preserve"> will </w:t>
      </w:r>
      <w:r w:rsidR="0070524B">
        <w:t>continue</w:t>
      </w:r>
      <w:r w:rsidR="00343FBF">
        <w:t xml:space="preserve"> to have a significant impact on the B2B forward work program. These include</w:t>
      </w:r>
      <w:r w:rsidR="0048073E">
        <w:t>d</w:t>
      </w:r>
      <w:r w:rsidR="00343FBF">
        <w:t>:</w:t>
      </w:r>
    </w:p>
    <w:p w14:paraId="601AE134" w14:textId="77777777" w:rsidR="00343FBF" w:rsidRDefault="00343FBF" w:rsidP="004C560D">
      <w:pPr>
        <w:pStyle w:val="ListParagraph"/>
        <w:numPr>
          <w:ilvl w:val="0"/>
          <w:numId w:val="26"/>
        </w:numPr>
      </w:pPr>
      <w:r>
        <w:t>Finalisation of the Life support rule change;</w:t>
      </w:r>
    </w:p>
    <w:p w14:paraId="023E7C09" w14:textId="77777777" w:rsidR="00343FBF" w:rsidRDefault="00343FBF" w:rsidP="004C560D">
      <w:pPr>
        <w:pStyle w:val="ListParagraph"/>
        <w:numPr>
          <w:ilvl w:val="0"/>
          <w:numId w:val="26"/>
        </w:numPr>
      </w:pPr>
      <w:r>
        <w:t xml:space="preserve">Finalisation of the Five Minute Settlement (5MS) rule change, and consultation on </w:t>
      </w:r>
      <w:r w:rsidR="00363888">
        <w:t>Global Settlements</w:t>
      </w:r>
      <w:r>
        <w:t>;</w:t>
      </w:r>
      <w:r w:rsidR="00363888">
        <w:t xml:space="preserve"> and</w:t>
      </w:r>
    </w:p>
    <w:p w14:paraId="32291E37" w14:textId="77777777" w:rsidR="00343FBF" w:rsidRDefault="00343FBF" w:rsidP="004C560D">
      <w:pPr>
        <w:pStyle w:val="ListParagraph"/>
        <w:numPr>
          <w:ilvl w:val="0"/>
          <w:numId w:val="26"/>
        </w:numPr>
      </w:pPr>
      <w:r>
        <w:t xml:space="preserve">Consultation on </w:t>
      </w:r>
      <w:r w:rsidR="00363888">
        <w:t xml:space="preserve">changes to </w:t>
      </w:r>
      <w:r>
        <w:t>metering installation timeframes</w:t>
      </w:r>
      <w:r w:rsidR="00363888">
        <w:t xml:space="preserve"> that were </w:t>
      </w:r>
      <w:r w:rsidR="0048073E">
        <w:t xml:space="preserve">initially </w:t>
      </w:r>
      <w:r w:rsidR="00363888">
        <w:t>introduced by PoC.</w:t>
      </w:r>
    </w:p>
    <w:p w14:paraId="6E78FF9E" w14:textId="77777777" w:rsidR="00363888" w:rsidRDefault="00363888" w:rsidP="00343FBF">
      <w:r>
        <w:t>The Commonwealth Government also continues development of the Customer Data Rights legislation, which will have significant implications for the energy industry. Greater visibility of these impacts is likely to become known in 2019.</w:t>
      </w:r>
    </w:p>
    <w:p w14:paraId="32F346DC" w14:textId="2A9A20F1" w:rsidR="00343FBF" w:rsidRDefault="00343FBF" w:rsidP="00343FBF">
      <w:r>
        <w:lastRenderedPageBreak/>
        <w:t>In addition, the IEC’s iden</w:t>
      </w:r>
      <w:r w:rsidR="0070524B">
        <w:t>ti</w:t>
      </w:r>
      <w:r>
        <w:t xml:space="preserve">fication of a need for a review of NMI Standing Data </w:t>
      </w:r>
      <w:r w:rsidR="00363888">
        <w:t xml:space="preserve">in early 2018 </w:t>
      </w:r>
      <w:r>
        <w:t>has seen AEMO initiate this review.</w:t>
      </w:r>
    </w:p>
    <w:p w14:paraId="39F24681" w14:textId="488DC629" w:rsidR="00FA54C9" w:rsidRDefault="00363888" w:rsidP="00263990">
      <w:r>
        <w:t>For 2018, t</w:t>
      </w:r>
      <w:r w:rsidR="00380CB5">
        <w:t xml:space="preserve">he key activities and initiatives </w:t>
      </w:r>
      <w:r w:rsidR="00066D5E">
        <w:t>which the IEC</w:t>
      </w:r>
      <w:r w:rsidR="00F3006C">
        <w:t xml:space="preserve"> provided leadership on are outlined in the following sections</w:t>
      </w:r>
      <w:r w:rsidR="00E46DD3">
        <w:t>.</w:t>
      </w:r>
      <w:r w:rsidR="00D22E48">
        <w:t xml:space="preserve">  </w:t>
      </w:r>
    </w:p>
    <w:p w14:paraId="1E87A1E0" w14:textId="77777777" w:rsidR="0065495B" w:rsidRDefault="0065495B" w:rsidP="00263990">
      <w:pPr>
        <w:pStyle w:val="ListParagraph"/>
        <w:numPr>
          <w:ilvl w:val="1"/>
          <w:numId w:val="6"/>
        </w:numPr>
        <w:rPr>
          <w:b/>
        </w:rPr>
      </w:pPr>
      <w:r>
        <w:rPr>
          <w:b/>
        </w:rPr>
        <w:t>Life Support Rule Change – development of a B2B procedural solution</w:t>
      </w:r>
    </w:p>
    <w:p w14:paraId="5459CE23" w14:textId="77777777" w:rsidR="008E7D7F" w:rsidRPr="00C3318F" w:rsidRDefault="008E7D7F" w:rsidP="004C560D">
      <w:pPr>
        <w:spacing w:after="0"/>
      </w:pPr>
      <w:r w:rsidRPr="00C3318F">
        <w:t>On 19</w:t>
      </w:r>
      <w:r w:rsidRPr="00C3318F">
        <w:rPr>
          <w:vertAlign w:val="superscript"/>
        </w:rPr>
        <w:t>th</w:t>
      </w:r>
      <w:r w:rsidRPr="00C3318F">
        <w:t xml:space="preserve"> December 2017 the AEMC publ</w:t>
      </w:r>
      <w:r>
        <w:t>ished the final version of the R</w:t>
      </w:r>
      <w:r w:rsidRPr="00C3318F">
        <w:t>ule</w:t>
      </w:r>
      <w:r>
        <w:t>s</w:t>
      </w:r>
      <w:r w:rsidRPr="00C3318F">
        <w:t xml:space="preserve"> for strengthening protections for customers requiring life support equipment. The </w:t>
      </w:r>
      <w:r>
        <w:t xml:space="preserve">AEMCs </w:t>
      </w:r>
      <w:r w:rsidRPr="00C3318F">
        <w:t xml:space="preserve">final </w:t>
      </w:r>
      <w:r>
        <w:t>determination was made in response to a R</w:t>
      </w:r>
      <w:r w:rsidRPr="00C3318F">
        <w:t xml:space="preserve">ule change request submitted by the Australian Energy Regulator (AER), in the context of problems </w:t>
      </w:r>
      <w:r w:rsidR="0048073E">
        <w:t>it</w:t>
      </w:r>
      <w:r w:rsidRPr="00C3318F">
        <w:t xml:space="preserve"> identified with </w:t>
      </w:r>
      <w:r w:rsidR="0048073E">
        <w:t xml:space="preserve">the current </w:t>
      </w:r>
      <w:r w:rsidRPr="00C3318F">
        <w:t xml:space="preserve">life support provisions. Specifically: </w:t>
      </w:r>
    </w:p>
    <w:p w14:paraId="144604A9" w14:textId="77777777" w:rsidR="008E7D7F" w:rsidRPr="00C3318F" w:rsidRDefault="008E7D7F" w:rsidP="008E7D7F">
      <w:pPr>
        <w:numPr>
          <w:ilvl w:val="0"/>
          <w:numId w:val="23"/>
        </w:numPr>
        <w:spacing w:before="60" w:after="60" w:line="240" w:lineRule="auto"/>
      </w:pPr>
      <w:r>
        <w:t>S</w:t>
      </w:r>
      <w:r w:rsidRPr="00C3318F">
        <w:t xml:space="preserve">ome customers requiring life support equipment </w:t>
      </w:r>
      <w:r>
        <w:t>were</w:t>
      </w:r>
      <w:r w:rsidRPr="00C3318F">
        <w:t xml:space="preserve"> not being validly registered to receive protections, putting them at inc</w:t>
      </w:r>
      <w:r>
        <w:t>reased risk of harm;</w:t>
      </w:r>
      <w:r w:rsidRPr="00C3318F">
        <w:t xml:space="preserve"> </w:t>
      </w:r>
    </w:p>
    <w:p w14:paraId="5D2D891B" w14:textId="77777777" w:rsidR="008E7D7F" w:rsidRPr="00C3318F" w:rsidRDefault="008E7D7F" w:rsidP="008E7D7F">
      <w:pPr>
        <w:numPr>
          <w:ilvl w:val="0"/>
          <w:numId w:val="23"/>
        </w:numPr>
        <w:spacing w:before="60" w:after="60" w:line="240" w:lineRule="auto"/>
      </w:pPr>
      <w:r>
        <w:t>T</w:t>
      </w:r>
      <w:r w:rsidRPr="00C3318F">
        <w:t xml:space="preserve">here </w:t>
      </w:r>
      <w:r>
        <w:t>was</w:t>
      </w:r>
      <w:r w:rsidRPr="00C3318F">
        <w:t xml:space="preserve"> no onus on retailers and distributors to provide customers with information to facilitate registration when notified of the </w:t>
      </w:r>
      <w:r>
        <w:t>need for life support equipment; and</w:t>
      </w:r>
    </w:p>
    <w:p w14:paraId="36F1B61D" w14:textId="77777777" w:rsidR="008E7D7F" w:rsidRPr="00C3318F" w:rsidRDefault="008E7D7F" w:rsidP="008E7D7F">
      <w:pPr>
        <w:numPr>
          <w:ilvl w:val="0"/>
          <w:numId w:val="23"/>
        </w:numPr>
        <w:spacing w:before="60" w:after="60" w:line="240" w:lineRule="auto"/>
      </w:pPr>
      <w:r>
        <w:t>L</w:t>
      </w:r>
      <w:r w:rsidRPr="00C3318F">
        <w:t>ife support registers have grown and become increasingly inaccurate despite mandatory periodic reconciliations.</w:t>
      </w:r>
    </w:p>
    <w:p w14:paraId="71E44030" w14:textId="77777777" w:rsidR="008E7D7F" w:rsidRPr="00C3318F" w:rsidRDefault="008E7D7F" w:rsidP="0048073E">
      <w:pPr>
        <w:spacing w:after="120"/>
      </w:pPr>
      <w:r>
        <w:t>The final R</w:t>
      </w:r>
      <w:r w:rsidRPr="00C3318F">
        <w:t xml:space="preserve">ule </w:t>
      </w:r>
      <w:r w:rsidR="00F3006C">
        <w:t>includes</w:t>
      </w:r>
      <w:r w:rsidRPr="00C3318F">
        <w:t xml:space="preserve"> a number of new obligations on both retailers and distributors in relation to </w:t>
      </w:r>
      <w:r>
        <w:t>life support</w:t>
      </w:r>
      <w:r w:rsidRPr="00C3318F">
        <w:t xml:space="preserve"> information </w:t>
      </w:r>
      <w:r>
        <w:t xml:space="preserve">that is </w:t>
      </w:r>
      <w:r w:rsidRPr="00C3318F">
        <w:t>required to be shared.</w:t>
      </w:r>
      <w:r w:rsidR="0048073E">
        <w:t xml:space="preserve"> </w:t>
      </w:r>
      <w:r w:rsidRPr="00C3318F">
        <w:t xml:space="preserve">The </w:t>
      </w:r>
      <w:r>
        <w:t xml:space="preserve">Rule </w:t>
      </w:r>
      <w:r w:rsidRPr="00C3318F">
        <w:t>changes include the provision of:</w:t>
      </w:r>
    </w:p>
    <w:p w14:paraId="5C7F607B" w14:textId="77777777" w:rsidR="008E7D7F" w:rsidRPr="00C3318F" w:rsidRDefault="008E7D7F" w:rsidP="0048073E">
      <w:pPr>
        <w:numPr>
          <w:ilvl w:val="0"/>
          <w:numId w:val="22"/>
        </w:numPr>
        <w:spacing w:after="60" w:line="240" w:lineRule="auto"/>
        <w:ind w:left="714" w:hanging="357"/>
      </w:pPr>
      <w:r w:rsidRPr="00C3318F">
        <w:t>Required date when life support is needed or n</w:t>
      </w:r>
      <w:r w:rsidR="0048073E">
        <w:t>ot needed;</w:t>
      </w:r>
    </w:p>
    <w:p w14:paraId="1DA53005" w14:textId="77777777" w:rsidR="008E7D7F" w:rsidRPr="00C3318F" w:rsidRDefault="008E7D7F" w:rsidP="008E7D7F">
      <w:pPr>
        <w:numPr>
          <w:ilvl w:val="0"/>
          <w:numId w:val="22"/>
        </w:numPr>
        <w:spacing w:before="60" w:after="60" w:line="240" w:lineRule="auto"/>
      </w:pPr>
      <w:r>
        <w:t>Relevant contact details;</w:t>
      </w:r>
    </w:p>
    <w:p w14:paraId="652FE16B" w14:textId="77777777" w:rsidR="008E7D7F" w:rsidRPr="00C3318F" w:rsidRDefault="008E7D7F" w:rsidP="008E7D7F">
      <w:pPr>
        <w:numPr>
          <w:ilvl w:val="0"/>
          <w:numId w:val="22"/>
        </w:numPr>
        <w:spacing w:before="60" w:after="60" w:line="240" w:lineRule="auto"/>
      </w:pPr>
      <w:r>
        <w:t>Life support e</w:t>
      </w:r>
      <w:r w:rsidRPr="00C3318F">
        <w:t>quipment</w:t>
      </w:r>
      <w:r>
        <w:t>;</w:t>
      </w:r>
    </w:p>
    <w:p w14:paraId="78E7A926" w14:textId="77777777" w:rsidR="008E7D7F" w:rsidRPr="00C3318F" w:rsidRDefault="008E7D7F" w:rsidP="008E7D7F">
      <w:pPr>
        <w:numPr>
          <w:ilvl w:val="0"/>
          <w:numId w:val="22"/>
        </w:numPr>
        <w:spacing w:before="60" w:after="60" w:line="240" w:lineRule="auto"/>
      </w:pPr>
      <w:r w:rsidRPr="00C3318F">
        <w:t>A de-registration reason if lif</w:t>
      </w:r>
      <w:r>
        <w:t>e support is no longer required; and</w:t>
      </w:r>
    </w:p>
    <w:p w14:paraId="6A510A7E" w14:textId="77777777" w:rsidR="008E7D7F" w:rsidRPr="00C3318F" w:rsidRDefault="008E7D7F" w:rsidP="004C560D">
      <w:pPr>
        <w:numPr>
          <w:ilvl w:val="0"/>
          <w:numId w:val="22"/>
        </w:numPr>
        <w:spacing w:after="240" w:line="240" w:lineRule="auto"/>
        <w:ind w:left="714" w:hanging="357"/>
      </w:pPr>
      <w:r w:rsidRPr="00C3318F">
        <w:t xml:space="preserve">A notification advising of life support requirements from the distributor to the retailer where the distributor is the registration process owner. </w:t>
      </w:r>
    </w:p>
    <w:p w14:paraId="420C6EFF" w14:textId="77777777" w:rsidR="00F3006C" w:rsidRDefault="008E7D7F" w:rsidP="004C560D">
      <w:pPr>
        <w:spacing w:after="0"/>
        <w:rPr>
          <w:b/>
        </w:rPr>
      </w:pPr>
      <w:r>
        <w:t xml:space="preserve">The </w:t>
      </w:r>
      <w:r w:rsidR="00F3006C">
        <w:t>IEC</w:t>
      </w:r>
      <w:r>
        <w:t xml:space="preserve"> were tasked with </w:t>
      </w:r>
      <w:r w:rsidR="0048073E">
        <w:t>developing</w:t>
      </w:r>
      <w:r>
        <w:t xml:space="preserve"> a mechanism to </w:t>
      </w:r>
      <w:r w:rsidR="0048073E">
        <w:t>assist</w:t>
      </w:r>
      <w:r>
        <w:t xml:space="preserve"> participants to meet their obligations in the Rule change.</w:t>
      </w:r>
      <w:r w:rsidR="00F3006C">
        <w:t xml:space="preserve"> The IEC undertook significant consultations with National Electricity Market (NEM) participants and determined that the most efficient manner to provide a framework for participants was to develop two additional B2B transactions, including:</w:t>
      </w:r>
    </w:p>
    <w:p w14:paraId="720B03B3" w14:textId="77777777" w:rsidR="008E7D7F" w:rsidRPr="00F3006C" w:rsidRDefault="008E7D7F" w:rsidP="008E7D7F">
      <w:pPr>
        <w:pStyle w:val="ListParagraph"/>
        <w:numPr>
          <w:ilvl w:val="0"/>
          <w:numId w:val="24"/>
        </w:numPr>
        <w:spacing w:before="60" w:after="60" w:line="240" w:lineRule="auto"/>
      </w:pPr>
      <w:r w:rsidRPr="00F3006C">
        <w:t xml:space="preserve">One transaction to deliver life support information </w:t>
      </w:r>
      <w:r w:rsidR="000A029D">
        <w:t>from one participant to another; and</w:t>
      </w:r>
      <w:r w:rsidRPr="00F3006C">
        <w:t xml:space="preserve"> </w:t>
      </w:r>
    </w:p>
    <w:p w14:paraId="2B99ECC7" w14:textId="77777777" w:rsidR="008E7D7F" w:rsidRPr="000A029D" w:rsidRDefault="008E7D7F" w:rsidP="004C560D">
      <w:pPr>
        <w:pStyle w:val="ListParagraph"/>
        <w:numPr>
          <w:ilvl w:val="0"/>
          <w:numId w:val="24"/>
        </w:numPr>
        <w:spacing w:before="60" w:after="240" w:line="240" w:lineRule="auto"/>
        <w:ind w:left="714" w:hanging="357"/>
        <w:contextualSpacing w:val="0"/>
      </w:pPr>
      <w:r w:rsidRPr="000A029D">
        <w:t>A second transaction to request life support information from a participant.</w:t>
      </w:r>
    </w:p>
    <w:p w14:paraId="4B1D66C8" w14:textId="77777777" w:rsidR="00F3006C" w:rsidRDefault="00F3006C" w:rsidP="004C560D">
      <w:pPr>
        <w:pStyle w:val="BodyText"/>
        <w:rPr>
          <w:rFonts w:eastAsiaTheme="minorEastAsia" w:cstheme="minorBidi"/>
          <w:szCs w:val="22"/>
        </w:rPr>
      </w:pPr>
      <w:r w:rsidRPr="004C560D">
        <w:rPr>
          <w:rFonts w:eastAsiaTheme="minorEastAsia" w:cstheme="minorBidi"/>
          <w:szCs w:val="22"/>
        </w:rPr>
        <w:t xml:space="preserve">The introduction of two new B2B procedure transactions </w:t>
      </w:r>
      <w:r w:rsidR="0048073E">
        <w:rPr>
          <w:rFonts w:eastAsiaTheme="minorEastAsia" w:cstheme="minorBidi"/>
          <w:szCs w:val="22"/>
        </w:rPr>
        <w:t xml:space="preserve">will </w:t>
      </w:r>
      <w:r w:rsidRPr="004C560D">
        <w:rPr>
          <w:rFonts w:eastAsiaTheme="minorEastAsia" w:cstheme="minorBidi"/>
          <w:szCs w:val="22"/>
        </w:rPr>
        <w:t>provide</w:t>
      </w:r>
      <w:r w:rsidR="0048073E">
        <w:rPr>
          <w:rFonts w:eastAsiaTheme="minorEastAsia" w:cstheme="minorBidi"/>
          <w:szCs w:val="22"/>
        </w:rPr>
        <w:t xml:space="preserve"> larger</w:t>
      </w:r>
      <w:r w:rsidRPr="004C560D">
        <w:rPr>
          <w:rFonts w:eastAsiaTheme="minorEastAsia" w:cstheme="minorBidi"/>
          <w:szCs w:val="22"/>
        </w:rPr>
        <w:t xml:space="preserve"> market participants with the option of using a nationally consistent and efficient tool for the management of life support notifications from customers. For these participants it will reduce the cost of managing multiple processes across </w:t>
      </w:r>
      <w:r w:rsidR="0048073E">
        <w:rPr>
          <w:rFonts w:eastAsiaTheme="minorEastAsia" w:cstheme="minorBidi"/>
          <w:szCs w:val="22"/>
        </w:rPr>
        <w:t xml:space="preserve">different </w:t>
      </w:r>
      <w:r w:rsidRPr="004C560D">
        <w:rPr>
          <w:rFonts w:eastAsiaTheme="minorEastAsia" w:cstheme="minorBidi"/>
          <w:szCs w:val="22"/>
        </w:rPr>
        <w:t>jurisdictions.</w:t>
      </w:r>
    </w:p>
    <w:p w14:paraId="41FCF45A" w14:textId="77777777" w:rsidR="0048073E" w:rsidRPr="004C560D" w:rsidRDefault="0048073E" w:rsidP="0048073E">
      <w:pPr>
        <w:pStyle w:val="BodyText"/>
        <w:rPr>
          <w:rFonts w:eastAsiaTheme="minorEastAsia" w:cstheme="minorBidi"/>
          <w:szCs w:val="22"/>
        </w:rPr>
      </w:pPr>
      <w:r w:rsidRPr="004C560D">
        <w:rPr>
          <w:rFonts w:eastAsiaTheme="minorEastAsia" w:cstheme="minorBidi"/>
          <w:szCs w:val="22"/>
        </w:rPr>
        <w:t xml:space="preserve">From a consumer perspective, customers that require life support equipment are among the most vulnerable in the community. A nationally consistent approach </w:t>
      </w:r>
      <w:r>
        <w:rPr>
          <w:rFonts w:eastAsiaTheme="minorEastAsia" w:cstheme="minorBidi"/>
          <w:szCs w:val="22"/>
        </w:rPr>
        <w:t xml:space="preserve">was considered to improved certainty by enabling </w:t>
      </w:r>
      <w:r w:rsidRPr="004C560D">
        <w:rPr>
          <w:rFonts w:eastAsiaTheme="minorEastAsia" w:cstheme="minorBidi"/>
          <w:szCs w:val="22"/>
        </w:rPr>
        <w:t xml:space="preserve">participants </w:t>
      </w:r>
      <w:r>
        <w:rPr>
          <w:rFonts w:eastAsiaTheme="minorEastAsia" w:cstheme="minorBidi"/>
          <w:szCs w:val="22"/>
        </w:rPr>
        <w:t>access to</w:t>
      </w:r>
      <w:r w:rsidRPr="004C560D">
        <w:rPr>
          <w:rFonts w:eastAsiaTheme="minorEastAsia" w:cstheme="minorBidi"/>
          <w:szCs w:val="22"/>
        </w:rPr>
        <w:t xml:space="preserve"> up-to-date information on customer life support requirements.</w:t>
      </w:r>
    </w:p>
    <w:p w14:paraId="2036F78A" w14:textId="77777777" w:rsidR="00F3006C" w:rsidRPr="004C560D" w:rsidRDefault="00F3006C" w:rsidP="004C560D">
      <w:pPr>
        <w:pStyle w:val="BodyText"/>
        <w:rPr>
          <w:rFonts w:eastAsiaTheme="minorEastAsia" w:cstheme="minorBidi"/>
          <w:szCs w:val="22"/>
        </w:rPr>
      </w:pPr>
      <w:r w:rsidRPr="004C560D">
        <w:rPr>
          <w:rFonts w:eastAsiaTheme="minorEastAsia" w:cstheme="minorBidi"/>
          <w:szCs w:val="22"/>
        </w:rPr>
        <w:lastRenderedPageBreak/>
        <w:t xml:space="preserve">This </w:t>
      </w:r>
      <w:r w:rsidR="000A029D">
        <w:rPr>
          <w:rFonts w:eastAsiaTheme="minorEastAsia" w:cstheme="minorBidi"/>
          <w:szCs w:val="22"/>
        </w:rPr>
        <w:t>approach</w:t>
      </w:r>
      <w:r w:rsidRPr="004C560D">
        <w:rPr>
          <w:rFonts w:eastAsiaTheme="minorEastAsia" w:cstheme="minorBidi"/>
          <w:szCs w:val="22"/>
        </w:rPr>
        <w:t xml:space="preserve"> </w:t>
      </w:r>
      <w:r w:rsidR="000A029D">
        <w:rPr>
          <w:rFonts w:eastAsiaTheme="minorEastAsia" w:cstheme="minorBidi"/>
          <w:szCs w:val="22"/>
        </w:rPr>
        <w:t>was intended to</w:t>
      </w:r>
      <w:r w:rsidRPr="004C560D">
        <w:rPr>
          <w:rFonts w:eastAsiaTheme="minorEastAsia" w:cstheme="minorBidi"/>
          <w:szCs w:val="22"/>
        </w:rPr>
        <w:t xml:space="preserve"> enable market participants </w:t>
      </w:r>
      <w:r w:rsidR="000A029D">
        <w:rPr>
          <w:rFonts w:eastAsiaTheme="minorEastAsia" w:cstheme="minorBidi"/>
          <w:szCs w:val="22"/>
        </w:rPr>
        <w:t xml:space="preserve">to both notify, and be notified </w:t>
      </w:r>
      <w:r w:rsidRPr="004C560D">
        <w:rPr>
          <w:rFonts w:eastAsiaTheme="minorEastAsia" w:cstheme="minorBidi"/>
          <w:szCs w:val="22"/>
        </w:rPr>
        <w:t>of a customer’s life support requirements</w:t>
      </w:r>
      <w:r w:rsidR="000A029D">
        <w:rPr>
          <w:rFonts w:eastAsiaTheme="minorEastAsia" w:cstheme="minorBidi"/>
          <w:szCs w:val="22"/>
        </w:rPr>
        <w:t>, and</w:t>
      </w:r>
      <w:r w:rsidRPr="004C560D">
        <w:rPr>
          <w:rFonts w:eastAsiaTheme="minorEastAsia" w:cstheme="minorBidi"/>
          <w:szCs w:val="22"/>
        </w:rPr>
        <w:t xml:space="preserve"> to update other relevant market participants of this in a timely manner. Importantly, the new transactions are clearly defined and auditable and will support compliance by all parties.</w:t>
      </w:r>
    </w:p>
    <w:p w14:paraId="77C3309C" w14:textId="77777777" w:rsidR="00F3006C" w:rsidRPr="004C560D" w:rsidRDefault="00F3006C" w:rsidP="004C560D">
      <w:pPr>
        <w:pStyle w:val="BodyText"/>
        <w:rPr>
          <w:rFonts w:eastAsiaTheme="minorEastAsia" w:cstheme="minorBidi"/>
          <w:szCs w:val="22"/>
        </w:rPr>
      </w:pPr>
      <w:r w:rsidRPr="004C560D">
        <w:rPr>
          <w:rFonts w:eastAsiaTheme="minorEastAsia" w:cstheme="minorBidi"/>
          <w:szCs w:val="22"/>
        </w:rPr>
        <w:t>This approach also still enables market participants with low volumes of life support transactions to enter into bilateral agreements with relevant parties.</w:t>
      </w:r>
      <w:r w:rsidR="000A029D">
        <w:rPr>
          <w:rFonts w:eastAsiaTheme="minorEastAsia" w:cstheme="minorBidi"/>
          <w:szCs w:val="22"/>
        </w:rPr>
        <w:t xml:space="preserve"> There remains work underway between some participants to develop suitable bilateral arrangements to deliver efficient outcomes</w:t>
      </w:r>
      <w:r w:rsidR="0048073E">
        <w:rPr>
          <w:rFonts w:eastAsiaTheme="minorEastAsia" w:cstheme="minorBidi"/>
          <w:szCs w:val="22"/>
        </w:rPr>
        <w:t xml:space="preserve"> based on their life support transaction volumes and in-house system limitations</w:t>
      </w:r>
      <w:r w:rsidR="000A029D">
        <w:rPr>
          <w:rFonts w:eastAsiaTheme="minorEastAsia" w:cstheme="minorBidi"/>
          <w:szCs w:val="22"/>
        </w:rPr>
        <w:t>.</w:t>
      </w:r>
    </w:p>
    <w:p w14:paraId="162CDBD1" w14:textId="77777777" w:rsidR="008E7D7F" w:rsidRDefault="008E7D7F" w:rsidP="008E7D7F">
      <w:r>
        <w:t xml:space="preserve">At the request of the IEC, </w:t>
      </w:r>
      <w:r w:rsidR="0048073E">
        <w:t>i</w:t>
      </w:r>
      <w:r>
        <w:t xml:space="preserve">nvestigations are </w:t>
      </w:r>
      <w:r w:rsidR="000A029D">
        <w:t xml:space="preserve">also </w:t>
      </w:r>
      <w:r>
        <w:t xml:space="preserve">currently underway to determine whether </w:t>
      </w:r>
      <w:r w:rsidR="000A029D">
        <w:t>life support information could be better managed as part of NMI Standing data. This is being considered as part of the AEMO NMI Standing Data Review</w:t>
      </w:r>
      <w:r w:rsidR="0048073E">
        <w:t xml:space="preserve"> which will be consulted on during 2019</w:t>
      </w:r>
      <w:r w:rsidR="000A029D">
        <w:t xml:space="preserve">. </w:t>
      </w:r>
    </w:p>
    <w:p w14:paraId="51F9A03D" w14:textId="77777777" w:rsidR="000A029D" w:rsidRDefault="000A029D" w:rsidP="008E7D7F">
      <w:r>
        <w:t>The new rules relating to life support come into effect on 1 February 2019. AEMO schema and B2B eHub changes will be finalised before 1 February 2019, with industry testing</w:t>
      </w:r>
      <w:r w:rsidR="0048073E">
        <w:t xml:space="preserve"> of the new transactions made </w:t>
      </w:r>
      <w:r>
        <w:t xml:space="preserve">available </w:t>
      </w:r>
      <w:r w:rsidR="0048073E">
        <w:t xml:space="preserve">to participant in </w:t>
      </w:r>
      <w:r>
        <w:t>mid-December 2018.</w:t>
      </w:r>
    </w:p>
    <w:p w14:paraId="708530A7" w14:textId="77777777" w:rsidR="00D35DC5" w:rsidRDefault="00D35DC5" w:rsidP="00263990">
      <w:pPr>
        <w:pStyle w:val="ListParagraph"/>
        <w:numPr>
          <w:ilvl w:val="1"/>
          <w:numId w:val="6"/>
        </w:numPr>
        <w:rPr>
          <w:b/>
        </w:rPr>
      </w:pPr>
      <w:r>
        <w:rPr>
          <w:b/>
        </w:rPr>
        <w:t>Identification of future improvements to the B2B platform</w:t>
      </w:r>
    </w:p>
    <w:p w14:paraId="40A87778" w14:textId="77777777" w:rsidR="00D35DC5" w:rsidRDefault="00DB6554" w:rsidP="004C560D">
      <w:r>
        <w:t>Given the challenges identified by different participants in implementing B2B schema and transactional changes</w:t>
      </w:r>
      <w:r w:rsidR="003F0D4A">
        <w:t xml:space="preserve"> for life support and other projects</w:t>
      </w:r>
      <w:r>
        <w:t>, AEMO ha</w:t>
      </w:r>
      <w:r w:rsidR="003F0D4A">
        <w:t>s</w:t>
      </w:r>
      <w:r>
        <w:t xml:space="preserve"> committed to working with industry to develop and implement cost-effective changes to improve the flexibility of the low volume interface (LVI) and consider more fundamental changes to the approach </w:t>
      </w:r>
      <w:r w:rsidR="0048073E">
        <w:t xml:space="preserve">currently used </w:t>
      </w:r>
      <w:r>
        <w:t xml:space="preserve">to </w:t>
      </w:r>
      <w:r w:rsidR="0048073E">
        <w:t xml:space="preserve">update the </w:t>
      </w:r>
      <w:r w:rsidR="001F3F7C">
        <w:t xml:space="preserve">B2B </w:t>
      </w:r>
      <w:r>
        <w:t>schema.</w:t>
      </w:r>
    </w:p>
    <w:p w14:paraId="19FC19BA" w14:textId="77777777" w:rsidR="00DB6554" w:rsidRPr="000A029D" w:rsidRDefault="00DB6554" w:rsidP="004C560D">
      <w:r>
        <w:t>Preliminary discussions</w:t>
      </w:r>
      <w:r w:rsidR="001F3F7C">
        <w:t xml:space="preserve"> between AEMO and interested market participants</w:t>
      </w:r>
      <w:r>
        <w:t xml:space="preserve"> were initiated in late 2018, with the</w:t>
      </w:r>
      <w:r w:rsidR="001F3F7C">
        <w:t xml:space="preserve"> initial</w:t>
      </w:r>
      <w:r>
        <w:t xml:space="preserve"> scope of work </w:t>
      </w:r>
      <w:r w:rsidR="001F3F7C">
        <w:t xml:space="preserve">for the LVI changes </w:t>
      </w:r>
      <w:r>
        <w:t>to be finalised in early 2019.</w:t>
      </w:r>
      <w:r w:rsidR="003F0D4A">
        <w:t xml:space="preserve"> Any proposed changes will need to be consulted on with participants.</w:t>
      </w:r>
      <w:r>
        <w:t xml:space="preserve"> This is reflected in the IEC work program for 2019.</w:t>
      </w:r>
    </w:p>
    <w:p w14:paraId="7773B3F5" w14:textId="77777777" w:rsidR="00380CB5" w:rsidRPr="00263990" w:rsidRDefault="006D0227" w:rsidP="00263990">
      <w:pPr>
        <w:pStyle w:val="ListParagraph"/>
        <w:numPr>
          <w:ilvl w:val="1"/>
          <w:numId w:val="6"/>
        </w:numPr>
        <w:rPr>
          <w:b/>
        </w:rPr>
      </w:pPr>
      <w:r>
        <w:rPr>
          <w:b/>
        </w:rPr>
        <w:t xml:space="preserve">Power of Choice – </w:t>
      </w:r>
      <w:r w:rsidR="0065495B">
        <w:rPr>
          <w:b/>
        </w:rPr>
        <w:t xml:space="preserve">Ongoing refinements </w:t>
      </w:r>
      <w:r>
        <w:rPr>
          <w:b/>
        </w:rPr>
        <w:t>to the B2B framework</w:t>
      </w:r>
    </w:p>
    <w:p w14:paraId="2CCBB178" w14:textId="7727C294" w:rsidR="00DB6554" w:rsidRDefault="00DB6554" w:rsidP="004C560D">
      <w:pPr>
        <w:pStyle w:val="BodyText"/>
        <w:rPr>
          <w:rFonts w:eastAsiaTheme="minorEastAsia" w:cstheme="minorBidi"/>
          <w:szCs w:val="22"/>
        </w:rPr>
      </w:pPr>
      <w:r>
        <w:rPr>
          <w:rFonts w:eastAsiaTheme="minorEastAsia" w:cstheme="minorBidi"/>
          <w:szCs w:val="22"/>
        </w:rPr>
        <w:t xml:space="preserve">Noting the tight delivery of the </w:t>
      </w:r>
      <w:r w:rsidR="003F0D4A">
        <w:rPr>
          <w:rFonts w:eastAsiaTheme="minorEastAsia" w:cstheme="minorBidi"/>
          <w:szCs w:val="22"/>
        </w:rPr>
        <w:t>PoC</w:t>
      </w:r>
      <w:r>
        <w:rPr>
          <w:rFonts w:eastAsiaTheme="minorEastAsia" w:cstheme="minorBidi"/>
          <w:szCs w:val="22"/>
        </w:rPr>
        <w:t xml:space="preserve"> reforms </w:t>
      </w:r>
      <w:r w:rsidR="003F0D4A">
        <w:rPr>
          <w:rFonts w:eastAsiaTheme="minorEastAsia" w:cstheme="minorBidi"/>
          <w:szCs w:val="22"/>
        </w:rPr>
        <w:t>that were implemented on</w:t>
      </w:r>
      <w:r>
        <w:rPr>
          <w:rFonts w:eastAsiaTheme="minorEastAsia" w:cstheme="minorBidi"/>
          <w:szCs w:val="22"/>
        </w:rPr>
        <w:t xml:space="preserve"> 1 December 2017, the IEC chose </w:t>
      </w:r>
      <w:r w:rsidR="0070524B">
        <w:rPr>
          <w:rFonts w:eastAsiaTheme="minorEastAsia" w:cstheme="minorBidi"/>
          <w:szCs w:val="22"/>
        </w:rPr>
        <w:t>to deliver</w:t>
      </w:r>
      <w:r>
        <w:rPr>
          <w:rFonts w:eastAsiaTheme="minorEastAsia" w:cstheme="minorBidi"/>
          <w:szCs w:val="22"/>
        </w:rPr>
        <w:t xml:space="preserve"> </w:t>
      </w:r>
      <w:r w:rsidR="003F0D4A">
        <w:rPr>
          <w:rFonts w:eastAsiaTheme="minorEastAsia" w:cstheme="minorBidi"/>
          <w:szCs w:val="22"/>
        </w:rPr>
        <w:t xml:space="preserve">only the </w:t>
      </w:r>
      <w:r>
        <w:rPr>
          <w:rFonts w:eastAsiaTheme="minorEastAsia" w:cstheme="minorBidi"/>
          <w:szCs w:val="22"/>
        </w:rPr>
        <w:t xml:space="preserve">required B2B scope for </w:t>
      </w:r>
      <w:r w:rsidR="003F0D4A">
        <w:rPr>
          <w:rFonts w:eastAsiaTheme="minorEastAsia" w:cstheme="minorBidi"/>
          <w:szCs w:val="22"/>
        </w:rPr>
        <w:t xml:space="preserve">go-live </w:t>
      </w:r>
      <w:r>
        <w:rPr>
          <w:rFonts w:eastAsiaTheme="minorEastAsia" w:cstheme="minorBidi"/>
          <w:szCs w:val="22"/>
        </w:rPr>
        <w:t xml:space="preserve">to reduce delivery risk for industry and minimise adverse impacts on consumers.  </w:t>
      </w:r>
    </w:p>
    <w:p w14:paraId="1D641EFD" w14:textId="77777777" w:rsidR="00DB6554" w:rsidRDefault="00DB6554" w:rsidP="004C560D">
      <w:pPr>
        <w:pStyle w:val="BodyText"/>
        <w:rPr>
          <w:rFonts w:eastAsiaTheme="minorEastAsia" w:cstheme="minorBidi"/>
          <w:szCs w:val="22"/>
        </w:rPr>
      </w:pPr>
      <w:r>
        <w:rPr>
          <w:rFonts w:eastAsiaTheme="minorEastAsia" w:cstheme="minorBidi"/>
          <w:szCs w:val="22"/>
        </w:rPr>
        <w:t xml:space="preserve">In order to achieve this, there were a number of </w:t>
      </w:r>
      <w:r w:rsidR="003F0D4A">
        <w:rPr>
          <w:rFonts w:eastAsiaTheme="minorEastAsia" w:cstheme="minorBidi"/>
          <w:szCs w:val="22"/>
        </w:rPr>
        <w:t xml:space="preserve">additional </w:t>
      </w:r>
      <w:r w:rsidR="001F3F7C">
        <w:rPr>
          <w:rFonts w:eastAsiaTheme="minorEastAsia" w:cstheme="minorBidi"/>
          <w:szCs w:val="22"/>
        </w:rPr>
        <w:t xml:space="preserve">B2B changes </w:t>
      </w:r>
      <w:r w:rsidR="003F0D4A">
        <w:rPr>
          <w:rFonts w:eastAsiaTheme="minorEastAsia" w:cstheme="minorBidi"/>
          <w:szCs w:val="22"/>
        </w:rPr>
        <w:t xml:space="preserve">proposed </w:t>
      </w:r>
      <w:r w:rsidR="001F3F7C">
        <w:rPr>
          <w:rFonts w:eastAsiaTheme="minorEastAsia" w:cstheme="minorBidi"/>
          <w:szCs w:val="22"/>
        </w:rPr>
        <w:t xml:space="preserve">by participants </w:t>
      </w:r>
      <w:r w:rsidR="004C560D">
        <w:rPr>
          <w:rFonts w:eastAsiaTheme="minorEastAsia" w:cstheme="minorBidi"/>
          <w:szCs w:val="22"/>
        </w:rPr>
        <w:t>which were descoped for Day 1 delivery. Following finalisation of the life support procedural changes</w:t>
      </w:r>
      <w:r w:rsidR="003F0D4A">
        <w:rPr>
          <w:rFonts w:eastAsiaTheme="minorEastAsia" w:cstheme="minorBidi"/>
          <w:szCs w:val="22"/>
        </w:rPr>
        <w:t xml:space="preserve"> in 2018</w:t>
      </w:r>
      <w:r w:rsidR="004C560D">
        <w:rPr>
          <w:rFonts w:eastAsiaTheme="minorEastAsia" w:cstheme="minorBidi"/>
          <w:szCs w:val="22"/>
        </w:rPr>
        <w:t xml:space="preserve">, the B2BWG commenced a process to review 51 </w:t>
      </w:r>
      <w:r w:rsidR="003F0D4A">
        <w:rPr>
          <w:rFonts w:eastAsiaTheme="minorEastAsia" w:cstheme="minorBidi"/>
          <w:szCs w:val="22"/>
        </w:rPr>
        <w:t>deferred</w:t>
      </w:r>
      <w:r w:rsidR="004C560D">
        <w:rPr>
          <w:rFonts w:eastAsiaTheme="minorEastAsia" w:cstheme="minorBidi"/>
          <w:szCs w:val="22"/>
        </w:rPr>
        <w:t xml:space="preserve"> items that</w:t>
      </w:r>
      <w:r>
        <w:rPr>
          <w:rFonts w:eastAsiaTheme="minorEastAsia" w:cstheme="minorBidi"/>
          <w:szCs w:val="22"/>
        </w:rPr>
        <w:t xml:space="preserve"> were not progressed as part of</w:t>
      </w:r>
      <w:r w:rsidR="003F0D4A">
        <w:rPr>
          <w:rFonts w:eastAsiaTheme="minorEastAsia" w:cstheme="minorBidi"/>
          <w:szCs w:val="22"/>
        </w:rPr>
        <w:t xml:space="preserve"> Day 1 PoC </w:t>
      </w:r>
      <w:r>
        <w:rPr>
          <w:rFonts w:eastAsiaTheme="minorEastAsia" w:cstheme="minorBidi"/>
          <w:szCs w:val="22"/>
        </w:rPr>
        <w:t xml:space="preserve">delivery.  </w:t>
      </w:r>
    </w:p>
    <w:p w14:paraId="250593F2" w14:textId="77777777" w:rsidR="003F0D4A" w:rsidRDefault="004C560D" w:rsidP="004C560D">
      <w:pPr>
        <w:pStyle w:val="BodyText"/>
        <w:rPr>
          <w:rFonts w:eastAsiaTheme="minorEastAsia" w:cstheme="minorBidi"/>
          <w:szCs w:val="22"/>
        </w:rPr>
      </w:pPr>
      <w:r>
        <w:rPr>
          <w:rFonts w:eastAsiaTheme="minorEastAsia" w:cstheme="minorBidi"/>
          <w:szCs w:val="22"/>
        </w:rPr>
        <w:t>A recommendation to the IEC from the B2BWG as to how to manage each of the items is due in early 2019. Based on these recommendations, future changes to B2B processes and procedures (or potentially the addition of new B2B transactions) will be identified with the required Change Proposal</w:t>
      </w:r>
      <w:r w:rsidR="003F0D4A">
        <w:rPr>
          <w:rFonts w:eastAsiaTheme="minorEastAsia" w:cstheme="minorBidi"/>
          <w:szCs w:val="22"/>
        </w:rPr>
        <w:t>s</w:t>
      </w:r>
      <w:r>
        <w:rPr>
          <w:rFonts w:eastAsiaTheme="minorEastAsia" w:cstheme="minorBidi"/>
          <w:szCs w:val="22"/>
        </w:rPr>
        <w:t xml:space="preserve"> lodged with the IEC. </w:t>
      </w:r>
    </w:p>
    <w:p w14:paraId="6209820E" w14:textId="77777777" w:rsidR="00DB6554" w:rsidRDefault="004C560D" w:rsidP="004C560D">
      <w:pPr>
        <w:pStyle w:val="BodyText"/>
        <w:rPr>
          <w:rFonts w:eastAsiaTheme="minorEastAsia" w:cstheme="minorBidi"/>
          <w:szCs w:val="22"/>
        </w:rPr>
      </w:pPr>
      <w:r>
        <w:rPr>
          <w:rFonts w:eastAsiaTheme="minorEastAsia" w:cstheme="minorBidi"/>
          <w:szCs w:val="22"/>
        </w:rPr>
        <w:t xml:space="preserve">This will result in a future program of B2B consultations with industry. </w:t>
      </w:r>
      <w:r>
        <w:t>This is reflected in the IEC work program for 2019.</w:t>
      </w:r>
    </w:p>
    <w:p w14:paraId="21CF3671" w14:textId="77777777" w:rsidR="001057A9" w:rsidRPr="00D14E65" w:rsidRDefault="003F0D4A" w:rsidP="00D14E65">
      <w:pPr>
        <w:pStyle w:val="ListParagraph"/>
        <w:numPr>
          <w:ilvl w:val="1"/>
          <w:numId w:val="6"/>
        </w:numPr>
        <w:rPr>
          <w:b/>
        </w:rPr>
      </w:pPr>
      <w:r>
        <w:rPr>
          <w:b/>
        </w:rPr>
        <w:lastRenderedPageBreak/>
        <w:t>Redefining the B2BWG Terms of Reference and ongoing improvements to the p</w:t>
      </w:r>
      <w:r w:rsidR="001057A9" w:rsidRPr="00D14E65">
        <w:rPr>
          <w:b/>
        </w:rPr>
        <w:t>rocedure change process</w:t>
      </w:r>
    </w:p>
    <w:p w14:paraId="25686159" w14:textId="4B609DED" w:rsidR="0090225F" w:rsidRDefault="003F0D4A" w:rsidP="0090225F">
      <w:pPr>
        <w:overflowPunct w:val="0"/>
        <w:autoSpaceDE w:val="0"/>
        <w:autoSpaceDN w:val="0"/>
        <w:adjustRightInd w:val="0"/>
        <w:spacing w:before="60" w:after="240" w:line="240" w:lineRule="auto"/>
        <w:textAlignment w:val="baseline"/>
      </w:pPr>
      <w:r>
        <w:t>Given the B2BWG Terms of Reference (ToRs) were developed specifically for the PoC Project, the IEC iden</w:t>
      </w:r>
      <w:r w:rsidR="0070524B">
        <w:t>ti</w:t>
      </w:r>
      <w:r>
        <w:t xml:space="preserve">fied there were </w:t>
      </w:r>
      <w:r w:rsidR="0070524B">
        <w:t>opportunities</w:t>
      </w:r>
      <w:r>
        <w:t xml:space="preserve"> to develop updated ToRs which better reflected the forward strategic program of reforms</w:t>
      </w:r>
      <w:r w:rsidR="001F3F7C">
        <w:t xml:space="preserve">. Given the </w:t>
      </w:r>
      <w:r w:rsidR="00A72EB5">
        <w:t>pace of change in the energy industry,</w:t>
      </w:r>
      <w:r w:rsidR="001F3F7C">
        <w:t xml:space="preserve"> the IEC remains </w:t>
      </w:r>
      <w:r w:rsidR="0090225F">
        <w:t xml:space="preserve">committed to </w:t>
      </w:r>
      <w:r w:rsidR="00A72EB5">
        <w:t>ensur</w:t>
      </w:r>
      <w:r w:rsidR="0090225F">
        <w:t xml:space="preserve">ing </w:t>
      </w:r>
      <w:r w:rsidR="00A72EB5">
        <w:t xml:space="preserve">there is an appropriate </w:t>
      </w:r>
      <w:r w:rsidR="0090225F">
        <w:t xml:space="preserve">and efficient </w:t>
      </w:r>
      <w:r w:rsidR="00A72EB5">
        <w:t xml:space="preserve">change process to implement procedure changes.  </w:t>
      </w:r>
      <w:r w:rsidR="0090225F">
        <w:t xml:space="preserve">Over the last two years, </w:t>
      </w:r>
      <w:r w:rsidR="00A72EB5">
        <w:t xml:space="preserve">the IEC has been working with AEMO to review the retail procedure change process to facilitate </w:t>
      </w:r>
      <w:r w:rsidR="0090225F">
        <w:t xml:space="preserve">more </w:t>
      </w:r>
      <w:r w:rsidR="00A72EB5">
        <w:t xml:space="preserve">timely change implementation which balances the need for </w:t>
      </w:r>
      <w:r w:rsidR="00D14E65">
        <w:t>collaboration</w:t>
      </w:r>
      <w:r w:rsidR="00A72EB5">
        <w:t xml:space="preserve"> and industry consultation</w:t>
      </w:r>
      <w:r w:rsidR="0090225F">
        <w:t xml:space="preserve"> with efficiency in identifying the options for change. </w:t>
      </w:r>
    </w:p>
    <w:p w14:paraId="306B5412" w14:textId="77777777" w:rsidR="0090225F" w:rsidRDefault="0090225F" w:rsidP="00C41FE4">
      <w:pPr>
        <w:overflowPunct w:val="0"/>
        <w:autoSpaceDE w:val="0"/>
        <w:autoSpaceDN w:val="0"/>
        <w:adjustRightInd w:val="0"/>
        <w:spacing w:before="60" w:after="60" w:line="240" w:lineRule="auto"/>
        <w:textAlignment w:val="baseline"/>
      </w:pPr>
      <w:r>
        <w:t>The B2BWG is a key part of the IECs approach to improving procedural change processes, and as such, it was identified that the existing PoC ToRs should be refreshed, and a new call for nominations undertaken by the retail, distribution and metering peak bodies.</w:t>
      </w:r>
    </w:p>
    <w:p w14:paraId="20850DFC" w14:textId="77777777" w:rsidR="00BE74A6" w:rsidRDefault="0090225F" w:rsidP="00C00E4E">
      <w:pPr>
        <w:overflowPunct w:val="0"/>
        <w:autoSpaceDE w:val="0"/>
        <w:autoSpaceDN w:val="0"/>
        <w:adjustRightInd w:val="0"/>
        <w:spacing w:before="60" w:after="240" w:line="240" w:lineRule="auto"/>
        <w:textAlignment w:val="baseline"/>
      </w:pPr>
      <w:r>
        <w:t xml:space="preserve">This process commenced in </w:t>
      </w:r>
      <w:r w:rsidR="00BE74A6">
        <w:t>December 2018 and is anticipated to be finalised in early 2019. The updated ToRs for the refreshed B2BWG will be published on the AEMO website along with the new B2BWG members and the relevant contact details.</w:t>
      </w:r>
    </w:p>
    <w:p w14:paraId="2B762F0D" w14:textId="77777777" w:rsidR="00155AE6" w:rsidRDefault="00A72EB5" w:rsidP="00C00E4E">
      <w:pPr>
        <w:overflowPunct w:val="0"/>
        <w:autoSpaceDE w:val="0"/>
        <w:autoSpaceDN w:val="0"/>
        <w:adjustRightInd w:val="0"/>
        <w:spacing w:before="60" w:after="240" w:line="240" w:lineRule="auto"/>
        <w:textAlignment w:val="baseline"/>
      </w:pPr>
      <w:r>
        <w:t xml:space="preserve">The IEC will continue to work with AEMO to </w:t>
      </w:r>
      <w:r w:rsidR="00BE74A6">
        <w:t>improve the</w:t>
      </w:r>
      <w:r>
        <w:t xml:space="preserve"> B2B procedure change processes.  </w:t>
      </w:r>
    </w:p>
    <w:p w14:paraId="6FF7C988" w14:textId="5497782B" w:rsidR="00BE74A6" w:rsidRDefault="00BE74A6" w:rsidP="00C41FE4">
      <w:pPr>
        <w:overflowPunct w:val="0"/>
        <w:autoSpaceDE w:val="0"/>
        <w:autoSpaceDN w:val="0"/>
        <w:adjustRightInd w:val="0"/>
        <w:spacing w:before="60" w:after="60" w:line="240" w:lineRule="auto"/>
        <w:textAlignment w:val="baseline"/>
      </w:pPr>
      <w:r>
        <w:t>The IEC wishes to acknowledge the significant contribution of B2BWG members</w:t>
      </w:r>
      <w:r w:rsidR="00C00E4E">
        <w:t xml:space="preserve"> in delivering the </w:t>
      </w:r>
      <w:r w:rsidR="0070524B">
        <w:t>ongoing</w:t>
      </w:r>
      <w:r w:rsidR="00C00E4E">
        <w:t xml:space="preserve"> </w:t>
      </w:r>
      <w:r w:rsidR="00174A4E">
        <w:t>changes to the B2B procedures and framework.</w:t>
      </w:r>
      <w:r>
        <w:t xml:space="preserve"> </w:t>
      </w:r>
    </w:p>
    <w:p w14:paraId="0FFB4F02" w14:textId="77777777" w:rsidR="00700CE6" w:rsidRDefault="00700CE6" w:rsidP="00C41FE4">
      <w:pPr>
        <w:overflowPunct w:val="0"/>
        <w:autoSpaceDE w:val="0"/>
        <w:autoSpaceDN w:val="0"/>
        <w:adjustRightInd w:val="0"/>
        <w:spacing w:before="60" w:after="60" w:line="240" w:lineRule="auto"/>
        <w:textAlignment w:val="baseline"/>
      </w:pPr>
    </w:p>
    <w:p w14:paraId="3712C915" w14:textId="77777777" w:rsidR="00700CE6" w:rsidRDefault="00220ED1" w:rsidP="00700CE6">
      <w:pPr>
        <w:pStyle w:val="ListParagraph"/>
        <w:numPr>
          <w:ilvl w:val="1"/>
          <w:numId w:val="6"/>
        </w:numPr>
        <w:rPr>
          <w:b/>
        </w:rPr>
      </w:pPr>
      <w:r>
        <w:rPr>
          <w:b/>
        </w:rPr>
        <w:t>Other work during 2018</w:t>
      </w:r>
    </w:p>
    <w:p w14:paraId="66B8FDCC" w14:textId="77777777" w:rsidR="00220ED1" w:rsidRPr="00220ED1" w:rsidRDefault="00220ED1" w:rsidP="00220ED1">
      <w:r w:rsidRPr="00220ED1">
        <w:t>At the end of 2018, there were a number of other reviews commencing, including:</w:t>
      </w:r>
    </w:p>
    <w:p w14:paraId="61ED6CC6" w14:textId="77777777" w:rsidR="00220ED1" w:rsidRPr="00220ED1" w:rsidRDefault="00220ED1" w:rsidP="00220ED1">
      <w:pPr>
        <w:pStyle w:val="ListParagraph"/>
        <w:numPr>
          <w:ilvl w:val="0"/>
          <w:numId w:val="27"/>
        </w:numPr>
      </w:pPr>
      <w:r w:rsidRPr="00220ED1">
        <w:t>Consideration of B2B changes required to facilitate the requirements of the metering installation timeframes rule change; and</w:t>
      </w:r>
    </w:p>
    <w:p w14:paraId="6C72D6D2" w14:textId="77777777" w:rsidR="00220ED1" w:rsidRPr="00220ED1" w:rsidRDefault="00220ED1" w:rsidP="00220ED1">
      <w:pPr>
        <w:pStyle w:val="ListParagraph"/>
        <w:numPr>
          <w:ilvl w:val="0"/>
          <w:numId w:val="27"/>
        </w:numPr>
      </w:pPr>
      <w:r w:rsidRPr="00220ED1">
        <w:t>Review of potential B2B changes required due to the 5MS Project.</w:t>
      </w:r>
    </w:p>
    <w:p w14:paraId="0CA82FE7" w14:textId="53EDCCEC" w:rsidR="00220ED1" w:rsidRPr="00220ED1" w:rsidRDefault="00220ED1" w:rsidP="00220ED1">
      <w:proofErr w:type="gramStart"/>
      <w:r>
        <w:t>These consideration of the impacts</w:t>
      </w:r>
      <w:proofErr w:type="gramEnd"/>
      <w:r>
        <w:t xml:space="preserve"> of these reviews commenced late in </w:t>
      </w:r>
      <w:r w:rsidR="0070524B">
        <w:t>2018 and</w:t>
      </w:r>
      <w:r>
        <w:t xml:space="preserve"> will be part of </w:t>
      </w:r>
      <w:r w:rsidR="0070524B">
        <w:t xml:space="preserve">the </w:t>
      </w:r>
      <w:r w:rsidR="0070524B" w:rsidRPr="00220ED1">
        <w:t>2019</w:t>
      </w:r>
      <w:r>
        <w:t xml:space="preserve"> IEC program of works</w:t>
      </w:r>
      <w:r w:rsidRPr="00220ED1">
        <w:t>.</w:t>
      </w:r>
    </w:p>
    <w:p w14:paraId="2B425CE7" w14:textId="77777777" w:rsidR="004C560D" w:rsidRPr="004C560D" w:rsidRDefault="004C560D" w:rsidP="00C41FE4">
      <w:pPr>
        <w:overflowPunct w:val="0"/>
        <w:autoSpaceDE w:val="0"/>
        <w:autoSpaceDN w:val="0"/>
        <w:adjustRightInd w:val="0"/>
        <w:spacing w:before="60" w:after="60" w:line="240" w:lineRule="auto"/>
        <w:textAlignment w:val="baseline"/>
        <w:rPr>
          <w:b/>
        </w:rPr>
      </w:pPr>
      <w:r w:rsidRPr="004C560D">
        <w:rPr>
          <w:b/>
        </w:rPr>
        <w:t>IEC acknowledgement of collaborative efforts</w:t>
      </w:r>
    </w:p>
    <w:p w14:paraId="2BF2D54C" w14:textId="77777777" w:rsidR="004C560D" w:rsidRDefault="004C560D" w:rsidP="004C560D">
      <w:r>
        <w:t xml:space="preserve">The IEC acknowledges the collaborative efforts of electricity market participants, the B2BWG and AEMO in continuing to identify, develop and deliver the ongoing substantial reforms underway within the sector.   </w:t>
      </w:r>
    </w:p>
    <w:p w14:paraId="1DED941C" w14:textId="77777777" w:rsidR="00971D89" w:rsidRPr="00971D89" w:rsidRDefault="004E768D" w:rsidP="00263990">
      <w:pPr>
        <w:pStyle w:val="ListParagraph"/>
        <w:numPr>
          <w:ilvl w:val="0"/>
          <w:numId w:val="6"/>
        </w:numPr>
        <w:spacing w:before="120" w:after="120"/>
        <w:rPr>
          <w:b/>
        </w:rPr>
      </w:pPr>
      <w:r>
        <w:rPr>
          <w:b/>
        </w:rPr>
        <w:t xml:space="preserve">OBJECTIVES </w:t>
      </w:r>
      <w:r w:rsidR="009113F1">
        <w:rPr>
          <w:b/>
        </w:rPr>
        <w:t xml:space="preserve">AND PRIOIRTIES </w:t>
      </w:r>
      <w:r>
        <w:rPr>
          <w:b/>
        </w:rPr>
        <w:t>FOR 201</w:t>
      </w:r>
      <w:r w:rsidR="0065495B">
        <w:rPr>
          <w:b/>
        </w:rPr>
        <w:t>9</w:t>
      </w:r>
      <w:r w:rsidR="001057A9">
        <w:rPr>
          <w:b/>
        </w:rPr>
        <w:t xml:space="preserve">  </w:t>
      </w:r>
    </w:p>
    <w:p w14:paraId="3E57C54C" w14:textId="77777777" w:rsidR="00A72EB5" w:rsidRDefault="00A72EB5" w:rsidP="00263990">
      <w:r>
        <w:t xml:space="preserve">With the delivery of the Power of Choice program, the key focuses for the IEC over the next 12 – 18 months include: </w:t>
      </w:r>
    </w:p>
    <w:p w14:paraId="4838C741" w14:textId="77777777" w:rsidR="00C57FF0" w:rsidRPr="00786C84" w:rsidRDefault="00C57FF0" w:rsidP="00C57FF0">
      <w:pPr>
        <w:pStyle w:val="ListParagraph"/>
        <w:numPr>
          <w:ilvl w:val="0"/>
          <w:numId w:val="18"/>
        </w:numPr>
      </w:pPr>
      <w:r w:rsidRPr="00786C84">
        <w:t>Implementing the life support rule change B2B procedural solution</w:t>
      </w:r>
      <w:r w:rsidR="00671367" w:rsidRPr="00786C84">
        <w:t xml:space="preserve"> including any refinements to bilateral arrangements and consideration of life support as part of the NMI Standing Data Review</w:t>
      </w:r>
      <w:r w:rsidR="00786C84">
        <w:t xml:space="preserve">. Greater visibility of the requirements to further support participants </w:t>
      </w:r>
      <w:r w:rsidR="00786C84">
        <w:lastRenderedPageBreak/>
        <w:t>with life support transactions will available once the rule change is implemented on 1 February 20109</w:t>
      </w:r>
      <w:r w:rsidR="00671367" w:rsidRPr="00786C84">
        <w:t>;</w:t>
      </w:r>
    </w:p>
    <w:p w14:paraId="4540EFDD" w14:textId="77777777" w:rsidR="00786C84" w:rsidRPr="00786C84" w:rsidRDefault="00786C84" w:rsidP="00786C84">
      <w:pPr>
        <w:pStyle w:val="ListParagraph"/>
        <w:numPr>
          <w:ilvl w:val="0"/>
          <w:numId w:val="18"/>
        </w:numPr>
      </w:pPr>
      <w:r w:rsidRPr="00786C84">
        <w:t>Identification of future improvements to the B2B platform</w:t>
      </w:r>
      <w:r>
        <w:t xml:space="preserve"> which will involve participants working closely with AEMO and the IEC to review </w:t>
      </w:r>
      <w:r w:rsidR="00B143E9">
        <w:t>any proposals to change the existing frameworks</w:t>
      </w:r>
      <w:r w:rsidRPr="00786C84">
        <w:t>;</w:t>
      </w:r>
    </w:p>
    <w:p w14:paraId="673ED6A9" w14:textId="647D332F" w:rsidR="00C57FF0" w:rsidRPr="00786C84" w:rsidRDefault="00C57FF0" w:rsidP="000F7967">
      <w:pPr>
        <w:pStyle w:val="ListParagraph"/>
        <w:numPr>
          <w:ilvl w:val="0"/>
          <w:numId w:val="18"/>
        </w:numPr>
      </w:pPr>
      <w:r w:rsidRPr="00786C84">
        <w:t>Redefining the B2BWG Terms of Reference</w:t>
      </w:r>
      <w:r w:rsidR="00B143E9">
        <w:t xml:space="preserve"> now that PoC has been implemented along with iden</w:t>
      </w:r>
      <w:r w:rsidR="0070524B">
        <w:t>ti</w:t>
      </w:r>
      <w:r w:rsidR="00B143E9">
        <w:t xml:space="preserve">fying </w:t>
      </w:r>
      <w:r w:rsidRPr="00786C84">
        <w:t>ongoing improvements to the procedure change process</w:t>
      </w:r>
      <w:r w:rsidR="00786C84" w:rsidRPr="00786C84">
        <w:t>;</w:t>
      </w:r>
    </w:p>
    <w:p w14:paraId="70BE0861" w14:textId="77777777" w:rsidR="00786C84" w:rsidRDefault="00786C84" w:rsidP="000F7967">
      <w:pPr>
        <w:pStyle w:val="ListParagraph"/>
        <w:numPr>
          <w:ilvl w:val="0"/>
          <w:numId w:val="18"/>
        </w:numPr>
      </w:pPr>
      <w:r w:rsidRPr="00786C84">
        <w:t>Recommendation of procedural changes due to changes introduced by the 5MS Project;</w:t>
      </w:r>
      <w:r>
        <w:t xml:space="preserve"> and</w:t>
      </w:r>
    </w:p>
    <w:p w14:paraId="45545C29" w14:textId="77777777" w:rsidR="00786C84" w:rsidRDefault="00786C84" w:rsidP="000F7967">
      <w:pPr>
        <w:pStyle w:val="ListParagraph"/>
        <w:numPr>
          <w:ilvl w:val="0"/>
          <w:numId w:val="18"/>
        </w:numPr>
      </w:pPr>
      <w:r>
        <w:t>Confirmation of the change process to improve the existing NOMW process where there is no read able to be obtained when a meter is replaced;</w:t>
      </w:r>
    </w:p>
    <w:p w14:paraId="50607287" w14:textId="77777777" w:rsidR="00786C84" w:rsidRDefault="00B143E9" w:rsidP="002D2B81">
      <w:pPr>
        <w:pStyle w:val="ListParagraph"/>
        <w:numPr>
          <w:ilvl w:val="0"/>
          <w:numId w:val="18"/>
        </w:numPr>
      </w:pPr>
      <w:r>
        <w:t xml:space="preserve">Understanding any impacts from the AEMC’s current investigations into metering installation timeframes; </w:t>
      </w:r>
    </w:p>
    <w:p w14:paraId="1F167285" w14:textId="77777777" w:rsidR="00B143E9" w:rsidRDefault="00B143E9" w:rsidP="00D14E65">
      <w:pPr>
        <w:pStyle w:val="ListParagraph"/>
        <w:numPr>
          <w:ilvl w:val="0"/>
          <w:numId w:val="18"/>
        </w:numPr>
      </w:pPr>
      <w:r>
        <w:t xml:space="preserve">Understanding any impacts from the ACCC’s development of a recommended framework to deliver the </w:t>
      </w:r>
      <w:r w:rsidR="00D14E65">
        <w:t>customer access to data</w:t>
      </w:r>
      <w:r>
        <w:t xml:space="preserve"> legislative undertaking for the energy sector</w:t>
      </w:r>
      <w:r w:rsidR="00D14E65">
        <w:t>.  This matter is currently bei</w:t>
      </w:r>
      <w:r>
        <w:t>ng considered by the Commonwealth Government and the ACCC;</w:t>
      </w:r>
      <w:r w:rsidR="00D14E65">
        <w:t xml:space="preserve">  </w:t>
      </w:r>
    </w:p>
    <w:p w14:paraId="3B342B1D" w14:textId="77777777" w:rsidR="00D14E65" w:rsidRDefault="00D14E65" w:rsidP="00D14E65">
      <w:pPr>
        <w:pStyle w:val="ListParagraph"/>
        <w:numPr>
          <w:ilvl w:val="0"/>
          <w:numId w:val="18"/>
        </w:numPr>
      </w:pPr>
      <w:r>
        <w:t xml:space="preserve">Standing Data review: An issue that emerged during the IEC’s </w:t>
      </w:r>
      <w:r w:rsidR="0039543C">
        <w:t>development of the B2B procedures during 2017</w:t>
      </w:r>
      <w:r>
        <w:t xml:space="preserve"> was whether it was time to review the standing data fields to ensure they remain fit for purpose in an environment with multi-party transactional process</w:t>
      </w:r>
      <w:r w:rsidR="0039543C">
        <w:t>es</w:t>
      </w:r>
      <w:r>
        <w:t xml:space="preserve">.  AEMO is currently developing a scope and will engage with the IEC and industry on this matter during 2018. </w:t>
      </w:r>
    </w:p>
    <w:p w14:paraId="5B66C65C" w14:textId="501E9DAC" w:rsidR="0039543C" w:rsidRDefault="0070524B" w:rsidP="00D14E65">
      <w:pPr>
        <w:pStyle w:val="ListParagraph"/>
        <w:numPr>
          <w:ilvl w:val="0"/>
          <w:numId w:val="18"/>
        </w:numPr>
      </w:pPr>
      <w:r>
        <w:t>5MS</w:t>
      </w:r>
      <w:r w:rsidR="0039543C">
        <w:t xml:space="preserve">: in November 2017, the AEMC released its final rule determination proposing to implement </w:t>
      </w:r>
      <w:r>
        <w:t>5MS</w:t>
      </w:r>
      <w:r w:rsidR="0039543C">
        <w:t xml:space="preserve"> by </w:t>
      </w:r>
      <w:r w:rsidR="006E7D89">
        <w:t>mid-2021</w:t>
      </w:r>
      <w:r w:rsidR="0039543C">
        <w:t xml:space="preserve">. From 2018, the IEC will work with AEMO and the wider industry to </w:t>
      </w:r>
      <w:r w:rsidR="00B143E9">
        <w:t>develop and IEC recommendation by mid-2019</w:t>
      </w:r>
      <w:r w:rsidR="0039543C">
        <w:t xml:space="preserve">. </w:t>
      </w:r>
    </w:p>
    <w:p w14:paraId="10D49490" w14:textId="5F29A031" w:rsidR="00D43F5D" w:rsidRDefault="00CA3720" w:rsidP="00BB5AC8">
      <w:r w:rsidRPr="00C57FF0">
        <w:rPr>
          <w:b/>
        </w:rPr>
        <w:t>A</w:t>
      </w:r>
      <w:r w:rsidR="004F7E2C" w:rsidRPr="00C57FF0">
        <w:rPr>
          <w:b/>
        </w:rPr>
        <w:t>ppendix</w:t>
      </w:r>
      <w:r w:rsidRPr="00C57FF0">
        <w:rPr>
          <w:b/>
        </w:rPr>
        <w:t xml:space="preserve"> A</w:t>
      </w:r>
      <w:r w:rsidR="00BB5AC8">
        <w:t xml:space="preserve"> provides a summary of the IEC roles and responsib</w:t>
      </w:r>
      <w:r w:rsidR="004F7E2C">
        <w:t xml:space="preserve">ilities under </w:t>
      </w:r>
      <w:r w:rsidR="006E7AC3">
        <w:t xml:space="preserve">Chapter 7 of the National Electricity. </w:t>
      </w:r>
      <w:r w:rsidR="004F7E2C" w:rsidRPr="00C57FF0">
        <w:rPr>
          <w:b/>
        </w:rPr>
        <w:t>Appendix</w:t>
      </w:r>
      <w:r w:rsidR="00BB5AC8" w:rsidRPr="00C57FF0">
        <w:rPr>
          <w:b/>
        </w:rPr>
        <w:t xml:space="preserve"> B</w:t>
      </w:r>
      <w:r w:rsidR="00BB5AC8">
        <w:t xml:space="preserve"> </w:t>
      </w:r>
      <w:r>
        <w:t xml:space="preserve">presents an indicative schedule of upcoming IEC meetings for 2017 together with indicative agenda items. </w:t>
      </w:r>
    </w:p>
    <w:p w14:paraId="46540352" w14:textId="77777777" w:rsidR="00776CB0" w:rsidRPr="00776CB0" w:rsidRDefault="00776CB0" w:rsidP="00263990">
      <w:pPr>
        <w:pStyle w:val="ListParagraph"/>
        <w:numPr>
          <w:ilvl w:val="0"/>
          <w:numId w:val="6"/>
        </w:numPr>
        <w:spacing w:before="120" w:after="120"/>
        <w:rPr>
          <w:b/>
        </w:rPr>
      </w:pPr>
      <w:r w:rsidRPr="00776CB0">
        <w:rPr>
          <w:b/>
        </w:rPr>
        <w:t xml:space="preserve">IEC </w:t>
      </w:r>
      <w:r w:rsidR="004359D8">
        <w:rPr>
          <w:b/>
        </w:rPr>
        <w:t>APPOINTMENTS</w:t>
      </w:r>
    </w:p>
    <w:p w14:paraId="201044AC" w14:textId="4193B935" w:rsidR="00C57FF0" w:rsidRDefault="00364DB2" w:rsidP="00776CB0">
      <w:r>
        <w:t xml:space="preserve">Elected members (distributor, retailer, metering and </w:t>
      </w:r>
      <w:r w:rsidR="0070524B">
        <w:t>third-party</w:t>
      </w:r>
      <w:r>
        <w:t xml:space="preserve"> members) </w:t>
      </w:r>
      <w:r w:rsidR="00776CB0">
        <w:t>are appointed through a voting process</w:t>
      </w:r>
      <w:r>
        <w:t>.  T</w:t>
      </w:r>
      <w:r w:rsidR="00D43F5D">
        <w:t xml:space="preserve">he consumer member, discretionary members and the AEMO member </w:t>
      </w:r>
      <w:r w:rsidR="006E7AC3">
        <w:t xml:space="preserve">(Chairperson) </w:t>
      </w:r>
      <w:r w:rsidR="00D43F5D">
        <w:t xml:space="preserve">are </w:t>
      </w:r>
      <w:r w:rsidR="00CA3720">
        <w:t xml:space="preserve">appointed by AEMO.  </w:t>
      </w:r>
    </w:p>
    <w:p w14:paraId="2B2732D5" w14:textId="77777777" w:rsidR="00776CB0" w:rsidRDefault="00CA3720" w:rsidP="00776CB0">
      <w:r w:rsidRPr="00C57FF0">
        <w:rPr>
          <w:b/>
        </w:rPr>
        <w:t>A</w:t>
      </w:r>
      <w:r w:rsidR="004F7E2C" w:rsidRPr="00C57FF0">
        <w:rPr>
          <w:b/>
        </w:rPr>
        <w:t>ppendix</w:t>
      </w:r>
      <w:r w:rsidRPr="00C57FF0">
        <w:rPr>
          <w:b/>
        </w:rPr>
        <w:t xml:space="preserve"> </w:t>
      </w:r>
      <w:r w:rsidR="004F7E2C" w:rsidRPr="00C57FF0">
        <w:rPr>
          <w:b/>
        </w:rPr>
        <w:t>C</w:t>
      </w:r>
      <w:r w:rsidR="00D43F5D">
        <w:t xml:space="preserve"> provides a full list of IEC members</w:t>
      </w:r>
      <w:r w:rsidR="006E7AC3">
        <w:t xml:space="preserve"> during 2018</w:t>
      </w:r>
      <w:r w:rsidR="00D43F5D">
        <w:t xml:space="preserve">.  </w:t>
      </w:r>
      <w:r w:rsidR="00D43F5D" w:rsidRPr="00C57FF0">
        <w:rPr>
          <w:b/>
        </w:rPr>
        <w:t>A</w:t>
      </w:r>
      <w:r w:rsidR="004F7E2C" w:rsidRPr="00C57FF0">
        <w:rPr>
          <w:b/>
        </w:rPr>
        <w:t>ppendix D</w:t>
      </w:r>
      <w:r w:rsidR="00D43F5D">
        <w:t xml:space="preserve"> provides a summary of member’s attendance</w:t>
      </w:r>
      <w:r w:rsidR="006E7AC3">
        <w:t xml:space="preserve"> at each of the IEC meetings for 2018</w:t>
      </w:r>
      <w:r w:rsidR="00D43F5D">
        <w:t xml:space="preserve">.  </w:t>
      </w:r>
    </w:p>
    <w:p w14:paraId="19D5DFA3" w14:textId="77777777" w:rsidR="00776CB0" w:rsidRDefault="00776CB0" w:rsidP="00C57FF0">
      <w:pPr>
        <w:spacing w:after="120"/>
      </w:pPr>
      <w:r>
        <w:t>The IEC note that it is not practical for all participants with an interest in retail market operations to be members of the Committe</w:t>
      </w:r>
      <w:r w:rsidR="0039543C">
        <w:t>e</w:t>
      </w:r>
      <w:r>
        <w:t xml:space="preserve"> and accordingly undertakes an open and transparent process in relation to Committee functions.  Supporting this:</w:t>
      </w:r>
    </w:p>
    <w:p w14:paraId="3CF123EA" w14:textId="77777777" w:rsidR="00776CB0" w:rsidRDefault="00776CB0" w:rsidP="00E46DD3">
      <w:pPr>
        <w:spacing w:after="60"/>
        <w:ind w:left="709" w:hanging="425"/>
      </w:pPr>
      <w:r>
        <w:t>•</w:t>
      </w:r>
      <w:r>
        <w:tab/>
        <w:t xml:space="preserve">Meeting packs and minutes are distributed directly via email to </w:t>
      </w:r>
      <w:r w:rsidR="006E7AC3">
        <w:t xml:space="preserve">the B2B Working Group (B2BWG) members, and broader </w:t>
      </w:r>
      <w:r>
        <w:t>nominated contacts across registered retailers</w:t>
      </w:r>
      <w:r w:rsidR="006E7AC3">
        <w:t xml:space="preserve">, </w:t>
      </w:r>
      <w:r>
        <w:t>distributors</w:t>
      </w:r>
      <w:r w:rsidR="006E7AC3">
        <w:t xml:space="preserve"> and metering companies; and</w:t>
      </w:r>
    </w:p>
    <w:p w14:paraId="09FBAE97" w14:textId="77777777" w:rsidR="00776CB0" w:rsidRDefault="00776CB0" w:rsidP="00E46DD3">
      <w:pPr>
        <w:ind w:left="709" w:hanging="283"/>
      </w:pPr>
      <w:r>
        <w:lastRenderedPageBreak/>
        <w:t>•</w:t>
      </w:r>
      <w:r>
        <w:tab/>
        <w:t xml:space="preserve">Meeting packs and minutes are made available publicly through the AEMO </w:t>
      </w:r>
      <w:r w:rsidR="00D43F5D">
        <w:t>website</w:t>
      </w:r>
      <w:r w:rsidR="009526CE">
        <w:t xml:space="preserve"> following endorsement of the meeting minutes by Committee members</w:t>
      </w:r>
      <w:r w:rsidR="00D43F5D">
        <w:t>.</w:t>
      </w:r>
    </w:p>
    <w:p w14:paraId="17657D85" w14:textId="77777777" w:rsidR="00971D89" w:rsidRPr="00971D89" w:rsidRDefault="008B1F51" w:rsidP="00263990">
      <w:pPr>
        <w:pStyle w:val="ListParagraph"/>
        <w:numPr>
          <w:ilvl w:val="0"/>
          <w:numId w:val="6"/>
        </w:numPr>
        <w:spacing w:before="120" w:after="120"/>
        <w:rPr>
          <w:b/>
        </w:rPr>
      </w:pPr>
      <w:r>
        <w:rPr>
          <w:b/>
        </w:rPr>
        <w:t xml:space="preserve">KEY </w:t>
      </w:r>
      <w:r w:rsidRPr="00971D89">
        <w:rPr>
          <w:b/>
        </w:rPr>
        <w:t>CONTACTS</w:t>
      </w:r>
    </w:p>
    <w:p w14:paraId="2B8D26AB" w14:textId="77777777" w:rsidR="00BB35E6" w:rsidRDefault="0039543C" w:rsidP="008B1F51">
      <w:r>
        <w:t>Market</w:t>
      </w:r>
      <w:r w:rsidR="00BB35E6">
        <w:t xml:space="preserve"> participants with an interest in the IEC operations or particular agenda items or issues are encouraged to participate. Please contact the IEC Secretariat to discuss your requirements or make suitable arrangements.</w:t>
      </w:r>
    </w:p>
    <w:p w14:paraId="61112F4F" w14:textId="76B4B2D1" w:rsidR="007F2420" w:rsidRDefault="008B1F51" w:rsidP="00971D89">
      <w:r>
        <w:t>Secret</w:t>
      </w:r>
      <w:r w:rsidR="00A77128">
        <w:t>ariat functions for the IEC</w:t>
      </w:r>
      <w:r>
        <w:t xml:space="preserve"> are provided by AEMO.  The Secretariat</w:t>
      </w:r>
      <w:r w:rsidR="00A54898">
        <w:t xml:space="preserve"> </w:t>
      </w:r>
      <w:r w:rsidR="00776CB0">
        <w:t xml:space="preserve">may be contacted on </w:t>
      </w:r>
      <w:hyperlink r:id="rId15" w:history="1">
        <w:r w:rsidR="00A54898" w:rsidRPr="00A54898">
          <w:rPr>
            <w:rStyle w:val="Hyperlink"/>
          </w:rPr>
          <w:t>IEC@aemo.com.au</w:t>
        </w:r>
      </w:hyperlink>
      <w:r>
        <w:t xml:space="preserve"> </w:t>
      </w:r>
    </w:p>
    <w:p w14:paraId="6B50C496" w14:textId="77777777" w:rsidR="00776CB0" w:rsidRDefault="00776CB0" w:rsidP="00971D89"/>
    <w:p w14:paraId="149294FF" w14:textId="77777777" w:rsidR="004F7E2C" w:rsidRDefault="00CA3720" w:rsidP="00414D94">
      <w:pPr>
        <w:pageBreakBefore/>
        <w:rPr>
          <w:sz w:val="36"/>
        </w:rPr>
      </w:pPr>
      <w:r>
        <w:rPr>
          <w:sz w:val="36"/>
        </w:rPr>
        <w:lastRenderedPageBreak/>
        <w:t xml:space="preserve">Appendix A – </w:t>
      </w:r>
      <w:r w:rsidR="004F7E2C">
        <w:rPr>
          <w:sz w:val="36"/>
        </w:rPr>
        <w:t>IEC roles and responsibilities</w:t>
      </w:r>
    </w:p>
    <w:p w14:paraId="566AC0B2" w14:textId="45F2D463" w:rsidR="004F7E2C" w:rsidRPr="00D14E65" w:rsidRDefault="00C14C6F" w:rsidP="004F7E2C">
      <w:pPr>
        <w:pStyle w:val="BodyText"/>
        <w:rPr>
          <w:rFonts w:eastAsiaTheme="minorEastAsia" w:cstheme="minorBidi"/>
          <w:szCs w:val="22"/>
        </w:rPr>
      </w:pPr>
      <w:r>
        <w:rPr>
          <w:rFonts w:eastAsiaTheme="minorEastAsia" w:cstheme="minorBidi"/>
          <w:szCs w:val="22"/>
        </w:rPr>
        <w:t>Section 7.17 of the National Electricity Rules</w:t>
      </w:r>
      <w:r w:rsidRPr="00D14E65">
        <w:rPr>
          <w:rFonts w:eastAsiaTheme="minorEastAsia" w:cstheme="minorBidi"/>
          <w:szCs w:val="22"/>
        </w:rPr>
        <w:t xml:space="preserve"> </w:t>
      </w:r>
      <w:r w:rsidR="004F7E2C" w:rsidRPr="00D14E65">
        <w:rPr>
          <w:rFonts w:eastAsiaTheme="minorEastAsia" w:cstheme="minorBidi"/>
          <w:szCs w:val="22"/>
        </w:rPr>
        <w:t xml:space="preserve">outline the </w:t>
      </w:r>
      <w:r>
        <w:rPr>
          <w:rFonts w:eastAsiaTheme="minorEastAsia" w:cstheme="minorBidi"/>
          <w:szCs w:val="22"/>
        </w:rPr>
        <w:t xml:space="preserve">role and functions of the </w:t>
      </w:r>
      <w:r w:rsidR="004F7E2C" w:rsidRPr="00D14E65">
        <w:rPr>
          <w:rFonts w:eastAsiaTheme="minorEastAsia" w:cstheme="minorBidi"/>
          <w:szCs w:val="22"/>
        </w:rPr>
        <w:t>IEC</w:t>
      </w:r>
      <w:r w:rsidR="0070524B">
        <w:rPr>
          <w:rFonts w:eastAsiaTheme="minorEastAsia" w:cstheme="minorBidi"/>
          <w:szCs w:val="22"/>
        </w:rPr>
        <w:t xml:space="preserve"> </w:t>
      </w:r>
      <w:r>
        <w:rPr>
          <w:rFonts w:eastAsiaTheme="minorEastAsia" w:cstheme="minorBidi"/>
          <w:szCs w:val="22"/>
        </w:rPr>
        <w:t>which includes</w:t>
      </w:r>
      <w:r w:rsidR="004F7E2C" w:rsidRPr="00D14E65">
        <w:rPr>
          <w:rFonts w:eastAsiaTheme="minorEastAsia" w:cstheme="minorBidi"/>
          <w:szCs w:val="22"/>
        </w:rPr>
        <w:t xml:space="preserve">: </w:t>
      </w:r>
    </w:p>
    <w:p w14:paraId="586F4022" w14:textId="2C144AB0" w:rsidR="004F7E2C" w:rsidRPr="00D22E48" w:rsidRDefault="004F7E2C" w:rsidP="00D14E65">
      <w:pPr>
        <w:pStyle w:val="ListParagraph"/>
        <w:numPr>
          <w:ilvl w:val="0"/>
          <w:numId w:val="17"/>
        </w:numPr>
      </w:pPr>
      <w:r w:rsidRPr="00D22E48">
        <w:t>Develop</w:t>
      </w:r>
      <w:r w:rsidR="00C14C6F">
        <w:t>ment</w:t>
      </w:r>
      <w:r w:rsidRPr="00D22E48">
        <w:t>, consult</w:t>
      </w:r>
      <w:r w:rsidR="00C14C6F">
        <w:t>ation</w:t>
      </w:r>
      <w:r w:rsidRPr="00D22E48">
        <w:t xml:space="preserve"> </w:t>
      </w:r>
      <w:r w:rsidR="0070524B" w:rsidRPr="00D22E48">
        <w:t>on</w:t>
      </w:r>
      <w:r w:rsidR="0070524B">
        <w:t>,</w:t>
      </w:r>
      <w:r w:rsidR="0070524B" w:rsidRPr="00D22E48">
        <w:t xml:space="preserve"> and</w:t>
      </w:r>
      <w:r w:rsidRPr="00D22E48">
        <w:t xml:space="preserve"> mak</w:t>
      </w:r>
      <w:r w:rsidR="00C14C6F">
        <w:t xml:space="preserve">ing of </w:t>
      </w:r>
      <w:r w:rsidRPr="00D22E48">
        <w:t>IEC recommendation</w:t>
      </w:r>
      <w:r w:rsidR="00C14C6F">
        <w:t>s</w:t>
      </w:r>
      <w:r w:rsidRPr="00D22E48">
        <w:t xml:space="preserve"> to AEMO on amendments to the B2B Procedures</w:t>
      </w:r>
      <w:r w:rsidR="00C14C6F">
        <w:t>;</w:t>
      </w:r>
    </w:p>
    <w:p w14:paraId="3EFC3F87" w14:textId="77777777" w:rsidR="004F7E2C" w:rsidRPr="00D22E48" w:rsidRDefault="00C14C6F" w:rsidP="00D14E65">
      <w:pPr>
        <w:pStyle w:val="ListParagraph"/>
        <w:numPr>
          <w:ilvl w:val="0"/>
          <w:numId w:val="17"/>
        </w:numPr>
      </w:pPr>
      <w:r>
        <w:t xml:space="preserve">Management of </w:t>
      </w:r>
      <w:r w:rsidR="004F7E2C" w:rsidRPr="00D22E48">
        <w:t>the ongoing development of the B2B Procedures</w:t>
      </w:r>
      <w:r>
        <w:t>;</w:t>
      </w:r>
    </w:p>
    <w:p w14:paraId="6E1DFC73" w14:textId="77777777" w:rsidR="004F7E2C" w:rsidRPr="00D22E48" w:rsidRDefault="004F7E2C" w:rsidP="00D14E65">
      <w:pPr>
        <w:pStyle w:val="ListParagraph"/>
        <w:numPr>
          <w:ilvl w:val="0"/>
          <w:numId w:val="17"/>
        </w:numPr>
      </w:pPr>
      <w:r w:rsidRPr="00D22E48">
        <w:t>Establish</w:t>
      </w:r>
      <w:r w:rsidR="00C14C6F">
        <w:t>ment of</w:t>
      </w:r>
      <w:r w:rsidRPr="00D22E48">
        <w:t xml:space="preserve"> IEC working groups</w:t>
      </w:r>
      <w:r w:rsidR="00C14C6F">
        <w:t>;</w:t>
      </w:r>
      <w:r w:rsidRPr="00D22E48">
        <w:t xml:space="preserve"> </w:t>
      </w:r>
    </w:p>
    <w:p w14:paraId="0F6AC2E3" w14:textId="77777777" w:rsidR="004F7E2C" w:rsidRPr="00D22E48" w:rsidRDefault="004F7E2C" w:rsidP="00D14E65">
      <w:pPr>
        <w:pStyle w:val="ListParagraph"/>
        <w:numPr>
          <w:ilvl w:val="0"/>
          <w:numId w:val="17"/>
        </w:numPr>
      </w:pPr>
      <w:r w:rsidRPr="00D22E48">
        <w:t>Review and consider</w:t>
      </w:r>
      <w:r w:rsidR="00C14C6F">
        <w:t xml:space="preserve">ation of </w:t>
      </w:r>
      <w:r w:rsidRPr="00D22E48">
        <w:t>the work completed by IEC working groups</w:t>
      </w:r>
      <w:r w:rsidR="00C14C6F">
        <w:t>;</w:t>
      </w:r>
    </w:p>
    <w:p w14:paraId="0DC342BA" w14:textId="77777777" w:rsidR="004F7E2C" w:rsidRPr="00D22E48" w:rsidRDefault="004F7E2C" w:rsidP="00D14E65">
      <w:pPr>
        <w:pStyle w:val="ListParagraph"/>
        <w:numPr>
          <w:ilvl w:val="0"/>
          <w:numId w:val="17"/>
        </w:numPr>
      </w:pPr>
      <w:r w:rsidRPr="00D22E48">
        <w:t>Develop</w:t>
      </w:r>
      <w:r w:rsidR="00C14C6F">
        <w:t>ment</w:t>
      </w:r>
      <w:r w:rsidRPr="00D22E48">
        <w:t>, consult</w:t>
      </w:r>
      <w:r w:rsidR="00C14C6F">
        <w:t>ation</w:t>
      </w:r>
      <w:r w:rsidRPr="00D22E48">
        <w:t xml:space="preserve"> on</w:t>
      </w:r>
      <w:r w:rsidR="00C14C6F">
        <w:t>,</w:t>
      </w:r>
      <w:r w:rsidRPr="00D22E48">
        <w:t xml:space="preserve"> and approv</w:t>
      </w:r>
      <w:r w:rsidR="00C14C6F">
        <w:t xml:space="preserve">al of </w:t>
      </w:r>
      <w:r w:rsidRPr="00D22E48">
        <w:t>the IEC Work Programme (a program that outlines the development, implementation and operation of the B2B Procedures and other matters incidental to effective and efficient B2B communication)</w:t>
      </w:r>
      <w:r w:rsidR="00C14C6F">
        <w:t>;</w:t>
      </w:r>
      <w:r w:rsidRPr="00D22E48">
        <w:t xml:space="preserve"> </w:t>
      </w:r>
    </w:p>
    <w:p w14:paraId="16E39F42" w14:textId="77777777" w:rsidR="004F7E2C" w:rsidRPr="00D22E48" w:rsidRDefault="004F7E2C" w:rsidP="00D14E65">
      <w:pPr>
        <w:pStyle w:val="ListParagraph"/>
        <w:numPr>
          <w:ilvl w:val="0"/>
          <w:numId w:val="17"/>
        </w:numPr>
      </w:pPr>
      <w:r w:rsidRPr="00D22E48">
        <w:t>Develop</w:t>
      </w:r>
      <w:r w:rsidR="00C14C6F">
        <w:t>ment of</w:t>
      </w:r>
      <w:r w:rsidRPr="00D22E48">
        <w:t xml:space="preserve"> amendments to the IEC Election Procedures and Operating Manual</w:t>
      </w:r>
      <w:r w:rsidR="00C14C6F">
        <w:t>;</w:t>
      </w:r>
      <w:r w:rsidRPr="00D22E48">
        <w:t xml:space="preserve">  </w:t>
      </w:r>
    </w:p>
    <w:p w14:paraId="3561579B" w14:textId="77777777" w:rsidR="004F7E2C" w:rsidRPr="00F77628" w:rsidRDefault="00D05F06" w:rsidP="00D14E65">
      <w:pPr>
        <w:pStyle w:val="ListParagraph"/>
        <w:numPr>
          <w:ilvl w:val="0"/>
          <w:numId w:val="17"/>
        </w:numPr>
      </w:pPr>
      <w:r w:rsidRPr="00D22E48">
        <w:t>By 31 December</w:t>
      </w:r>
      <w:r w:rsidR="004F7E2C" w:rsidRPr="00D22E48">
        <w:t xml:space="preserve"> each year, prepar</w:t>
      </w:r>
      <w:r w:rsidR="00C14C6F">
        <w:t xml:space="preserve">ation of </w:t>
      </w:r>
      <w:r w:rsidR="004F7E2C" w:rsidRPr="00D22E48">
        <w:t xml:space="preserve">an IEC </w:t>
      </w:r>
      <w:r w:rsidR="00C14C6F">
        <w:t>A</w:t>
      </w:r>
      <w:r w:rsidR="004F7E2C" w:rsidRPr="00D22E48">
        <w:t xml:space="preserve">nnual </w:t>
      </w:r>
      <w:r w:rsidR="00C14C6F">
        <w:t>R</w:t>
      </w:r>
      <w:r w:rsidR="004F7E2C" w:rsidRPr="00D22E48">
        <w:t xml:space="preserve">eport </w:t>
      </w:r>
      <w:r w:rsidR="00C14C6F">
        <w:t>which is to be</w:t>
      </w:r>
      <w:r w:rsidR="00C14C6F" w:rsidRPr="00D22E48">
        <w:t xml:space="preserve"> </w:t>
      </w:r>
      <w:r w:rsidR="004F7E2C" w:rsidRPr="00D22E48">
        <w:t>provide</w:t>
      </w:r>
      <w:r w:rsidR="00C14C6F">
        <w:t xml:space="preserve">d </w:t>
      </w:r>
      <w:r w:rsidR="004F7E2C" w:rsidRPr="00D22E48">
        <w:t xml:space="preserve">to AEMO, by </w:t>
      </w:r>
      <w:r w:rsidR="004F7E2C" w:rsidRPr="00F77628">
        <w:t>31 March each year, for publication</w:t>
      </w:r>
      <w:r w:rsidR="00C14C6F">
        <w:t>;</w:t>
      </w:r>
    </w:p>
    <w:p w14:paraId="726AAAB9" w14:textId="77777777" w:rsidR="004F7E2C" w:rsidRDefault="004F7E2C" w:rsidP="00D14E65">
      <w:pPr>
        <w:pStyle w:val="ListParagraph"/>
        <w:numPr>
          <w:ilvl w:val="0"/>
          <w:numId w:val="17"/>
        </w:numPr>
      </w:pPr>
      <w:r w:rsidRPr="001057A9">
        <w:t xml:space="preserve">By 28 February each year, </w:t>
      </w:r>
      <w:r w:rsidR="00C14C6F">
        <w:t>preparation of</w:t>
      </w:r>
      <w:r w:rsidRPr="001057A9">
        <w:t xml:space="preserve"> a draft budget for the following financial year in a form consistent with the budget procedures of AEMO. By </w:t>
      </w:r>
      <w:r w:rsidRPr="001057A9">
        <w:br/>
        <w:t xml:space="preserve">31 March, the IEC is to discuss and provide the budget to AEMO.  As part of its budget process, AEMO must advise the IEC of the final budget. </w:t>
      </w:r>
    </w:p>
    <w:p w14:paraId="01247E1C" w14:textId="77777777" w:rsidR="006E7AC3" w:rsidRPr="004C560D" w:rsidRDefault="00C14C6F" w:rsidP="004C560D">
      <w:r>
        <w:t xml:space="preserve">In development </w:t>
      </w:r>
      <w:r w:rsidR="00F61AA5">
        <w:t xml:space="preserve">new or </w:t>
      </w:r>
      <w:r>
        <w:t>amend</w:t>
      </w:r>
      <w:r w:rsidR="00F61AA5">
        <w:t xml:space="preserve">ed </w:t>
      </w:r>
      <w:r>
        <w:t>B2B Procedures, the IEC</w:t>
      </w:r>
      <w:r w:rsidR="00F61AA5">
        <w:t xml:space="preserve"> and B2BWG</w:t>
      </w:r>
      <w:r>
        <w:t xml:space="preserve"> is to </w:t>
      </w:r>
      <w:r w:rsidR="006E7AC3">
        <w:t xml:space="preserve">take into consideration the </w:t>
      </w:r>
      <w:r w:rsidR="006E7AC3" w:rsidRPr="004C560D">
        <w:t>B2B Principles and Objectives</w:t>
      </w:r>
      <w:r w:rsidR="00F61AA5">
        <w:t xml:space="preserve"> as outlined in Chapter 10 of the National Electricity Rules. These are outlined below:</w:t>
      </w:r>
    </w:p>
    <w:p w14:paraId="7006B83C" w14:textId="77777777" w:rsidR="006E7AC3" w:rsidRPr="004C560D" w:rsidRDefault="006E7AC3" w:rsidP="004C560D">
      <w:pPr>
        <w:pStyle w:val="BodyText"/>
        <w:numPr>
          <w:ilvl w:val="0"/>
          <w:numId w:val="21"/>
        </w:numPr>
        <w:rPr>
          <w:rFonts w:eastAsiaTheme="minorEastAsia" w:cstheme="minorBidi"/>
          <w:szCs w:val="22"/>
        </w:rPr>
      </w:pPr>
      <w:r w:rsidRPr="004C560D">
        <w:rPr>
          <w:rFonts w:eastAsiaTheme="minorEastAsia" w:cstheme="minorBidi"/>
          <w:szCs w:val="22"/>
        </w:rPr>
        <w:t>B2B Principles:</w:t>
      </w:r>
    </w:p>
    <w:p w14:paraId="4CD6BB40" w14:textId="77777777" w:rsidR="006E7AC3" w:rsidRPr="004C560D" w:rsidRDefault="006E7AC3" w:rsidP="006E7AC3">
      <w:pPr>
        <w:numPr>
          <w:ilvl w:val="0"/>
          <w:numId w:val="19"/>
        </w:numPr>
        <w:spacing w:before="120" w:after="120" w:line="240" w:lineRule="auto"/>
      </w:pPr>
      <w:r w:rsidRPr="004C560D">
        <w:t xml:space="preserve">B2B Procedures should provide a uniform approach to B2B Communications in participating jurisdictions; </w:t>
      </w:r>
    </w:p>
    <w:p w14:paraId="64DA6961" w14:textId="77777777" w:rsidR="006E7AC3" w:rsidRPr="004C560D" w:rsidRDefault="006E7AC3" w:rsidP="006E7AC3">
      <w:pPr>
        <w:numPr>
          <w:ilvl w:val="0"/>
          <w:numId w:val="19"/>
        </w:numPr>
        <w:spacing w:before="120" w:after="120" w:line="240" w:lineRule="auto"/>
      </w:pPr>
      <w:r w:rsidRPr="004C560D">
        <w:t xml:space="preserve">B2B Procedures should detail operational and procedural matters and technical requirements that result in efficient, effective and reliable B2B Communications; </w:t>
      </w:r>
    </w:p>
    <w:p w14:paraId="2A0993FE" w14:textId="77777777" w:rsidR="006E7AC3" w:rsidRPr="004C560D" w:rsidRDefault="006E7AC3" w:rsidP="006E7AC3">
      <w:pPr>
        <w:numPr>
          <w:ilvl w:val="0"/>
          <w:numId w:val="19"/>
        </w:numPr>
        <w:spacing w:before="120" w:after="120" w:line="240" w:lineRule="auto"/>
      </w:pPr>
      <w:r w:rsidRPr="004C560D">
        <w:t xml:space="preserve">B2B Procedures should avoid unreasonable discrimination between B2B Parties; and </w:t>
      </w:r>
    </w:p>
    <w:p w14:paraId="4C7F4460" w14:textId="77777777" w:rsidR="006E7AC3" w:rsidRPr="004C560D" w:rsidRDefault="006E7AC3" w:rsidP="006E7AC3">
      <w:pPr>
        <w:numPr>
          <w:ilvl w:val="0"/>
          <w:numId w:val="19"/>
        </w:numPr>
        <w:spacing w:before="120" w:after="120" w:line="240" w:lineRule="auto"/>
      </w:pPr>
      <w:r w:rsidRPr="004C560D">
        <w:t>B2B Procedures should protect the confidentiality of commercially sensitive information.</w:t>
      </w:r>
    </w:p>
    <w:p w14:paraId="496EED31" w14:textId="77777777" w:rsidR="006E7AC3" w:rsidRPr="004C560D" w:rsidRDefault="006E7AC3" w:rsidP="004C560D">
      <w:pPr>
        <w:pStyle w:val="BodyText"/>
        <w:numPr>
          <w:ilvl w:val="0"/>
          <w:numId w:val="21"/>
        </w:numPr>
        <w:rPr>
          <w:rFonts w:eastAsiaTheme="minorEastAsia" w:cstheme="minorBidi"/>
          <w:szCs w:val="22"/>
        </w:rPr>
      </w:pPr>
      <w:r w:rsidRPr="004C560D">
        <w:rPr>
          <w:rFonts w:eastAsiaTheme="minorEastAsia" w:cstheme="minorBidi"/>
          <w:szCs w:val="22"/>
        </w:rPr>
        <w:t xml:space="preserve">B2B factors (objectives): </w:t>
      </w:r>
    </w:p>
    <w:p w14:paraId="3F8E543B" w14:textId="77777777" w:rsidR="006E7AC3" w:rsidRPr="004C560D" w:rsidRDefault="006E7AC3" w:rsidP="006E7AC3">
      <w:pPr>
        <w:numPr>
          <w:ilvl w:val="0"/>
          <w:numId w:val="20"/>
        </w:numPr>
        <w:spacing w:before="120" w:after="120" w:line="240" w:lineRule="auto"/>
      </w:pPr>
      <w:r w:rsidRPr="004C560D">
        <w:t xml:space="preserve">The reasonable costs of compliance by AEMO and B2B Parties with the B2B Procedures compared with the likely benefits from B2B Communications; </w:t>
      </w:r>
    </w:p>
    <w:p w14:paraId="524236B2" w14:textId="77777777" w:rsidR="006E7AC3" w:rsidRPr="004C560D" w:rsidRDefault="006E7AC3" w:rsidP="006E7AC3">
      <w:pPr>
        <w:numPr>
          <w:ilvl w:val="0"/>
          <w:numId w:val="20"/>
        </w:numPr>
        <w:spacing w:before="120" w:after="120" w:line="240" w:lineRule="auto"/>
      </w:pPr>
      <w:r w:rsidRPr="004C560D">
        <w:t xml:space="preserve">The likely impacts on innovation in and barriers to entry to the markets for services facilitated by advanced meters resulting from changing the existing B2B Procedures; and </w:t>
      </w:r>
    </w:p>
    <w:p w14:paraId="51392DA5" w14:textId="77777777" w:rsidR="006E7AC3" w:rsidRDefault="006E7AC3" w:rsidP="006E7AC3">
      <w:pPr>
        <w:numPr>
          <w:ilvl w:val="0"/>
          <w:numId w:val="20"/>
        </w:numPr>
        <w:spacing w:before="120" w:after="120" w:line="240" w:lineRule="auto"/>
      </w:pPr>
      <w:r w:rsidRPr="004C560D">
        <w:t>The implementation timeframe reasonably necessary for AEMO and B2B Parties to implement systems or other changes required to be compliant with any change to existing B2B Procedures.</w:t>
      </w:r>
    </w:p>
    <w:p w14:paraId="1998EAC3" w14:textId="77777777" w:rsidR="00CA3720" w:rsidRDefault="004F7E2C" w:rsidP="00414D94">
      <w:pPr>
        <w:pageBreakBefore/>
        <w:rPr>
          <w:sz w:val="36"/>
        </w:rPr>
      </w:pPr>
      <w:r>
        <w:rPr>
          <w:sz w:val="36"/>
        </w:rPr>
        <w:lastRenderedPageBreak/>
        <w:t xml:space="preserve">Appendix B </w:t>
      </w:r>
      <w:r w:rsidR="00630AE7">
        <w:rPr>
          <w:sz w:val="36"/>
        </w:rPr>
        <w:t>–</w:t>
      </w:r>
      <w:r>
        <w:rPr>
          <w:sz w:val="36"/>
        </w:rPr>
        <w:t xml:space="preserve"> </w:t>
      </w:r>
      <w:r w:rsidR="00630AE7">
        <w:rPr>
          <w:sz w:val="36"/>
        </w:rPr>
        <w:t xml:space="preserve">Proposed </w:t>
      </w:r>
      <w:r w:rsidR="00CA3720">
        <w:rPr>
          <w:sz w:val="36"/>
        </w:rPr>
        <w:t xml:space="preserve">IEC </w:t>
      </w:r>
      <w:r w:rsidR="00630AE7">
        <w:rPr>
          <w:sz w:val="36"/>
        </w:rPr>
        <w:t xml:space="preserve">meeting </w:t>
      </w:r>
      <w:r w:rsidR="00CA3720">
        <w:rPr>
          <w:sz w:val="36"/>
        </w:rPr>
        <w:t>calendar</w:t>
      </w:r>
      <w:r w:rsidR="00630AE7">
        <w:rPr>
          <w:sz w:val="36"/>
        </w:rPr>
        <w:t xml:space="preserve"> and work priorities - 2019  </w:t>
      </w:r>
    </w:p>
    <w:tbl>
      <w:tblPr>
        <w:tblStyle w:val="TableGrid"/>
        <w:tblW w:w="9634" w:type="dxa"/>
        <w:tblLook w:val="04A0" w:firstRow="1" w:lastRow="0" w:firstColumn="1" w:lastColumn="0" w:noHBand="0" w:noVBand="1"/>
      </w:tblPr>
      <w:tblGrid>
        <w:gridCol w:w="3539"/>
        <w:gridCol w:w="6095"/>
      </w:tblGrid>
      <w:tr w:rsidR="004A6789" w:rsidRPr="00224A6D" w14:paraId="7EF1A607" w14:textId="77777777" w:rsidTr="008E7D7F">
        <w:trPr>
          <w:tblHeader/>
        </w:trPr>
        <w:tc>
          <w:tcPr>
            <w:tcW w:w="3539" w:type="dxa"/>
            <w:shd w:val="clear" w:color="auto" w:fill="002060"/>
          </w:tcPr>
          <w:p w14:paraId="1A72E9D3" w14:textId="77777777" w:rsidR="004A6789" w:rsidRPr="00224A6D" w:rsidRDefault="004A6789" w:rsidP="008E7D7F">
            <w:pPr>
              <w:spacing w:before="120" w:after="120"/>
              <w:rPr>
                <w:rFonts w:ascii="Arial" w:hAnsi="Arial" w:cs="Arial"/>
                <w:b/>
                <w:color w:val="FFFFFF" w:themeColor="background1"/>
              </w:rPr>
            </w:pPr>
            <w:r w:rsidRPr="00224A6D">
              <w:rPr>
                <w:rFonts w:ascii="Arial" w:hAnsi="Arial" w:cs="Arial"/>
                <w:b/>
                <w:color w:val="FFFFFF" w:themeColor="background1"/>
              </w:rPr>
              <w:t>Proposed Meeting Details</w:t>
            </w:r>
          </w:p>
        </w:tc>
        <w:tc>
          <w:tcPr>
            <w:tcW w:w="6095" w:type="dxa"/>
            <w:shd w:val="clear" w:color="auto" w:fill="002060"/>
          </w:tcPr>
          <w:p w14:paraId="4580F2DB" w14:textId="77777777" w:rsidR="004A6789" w:rsidRPr="00224A6D" w:rsidRDefault="004A6789" w:rsidP="008E7D7F">
            <w:pPr>
              <w:spacing w:before="120" w:after="120"/>
              <w:rPr>
                <w:rFonts w:ascii="Arial" w:hAnsi="Arial" w:cs="Arial"/>
                <w:b/>
                <w:color w:val="FFFFFF" w:themeColor="background1"/>
              </w:rPr>
            </w:pPr>
            <w:r w:rsidRPr="00224A6D">
              <w:rPr>
                <w:rFonts w:ascii="Arial" w:hAnsi="Arial" w:cs="Arial"/>
                <w:b/>
                <w:color w:val="FFFFFF" w:themeColor="background1"/>
              </w:rPr>
              <w:t xml:space="preserve">Proposed content, decisions or outcomes. </w:t>
            </w:r>
          </w:p>
        </w:tc>
      </w:tr>
      <w:tr w:rsidR="004A6789" w:rsidRPr="000C347A" w14:paraId="129BB78C" w14:textId="77777777" w:rsidTr="008E7D7F">
        <w:tc>
          <w:tcPr>
            <w:tcW w:w="3539" w:type="dxa"/>
          </w:tcPr>
          <w:p w14:paraId="177B5F05" w14:textId="77777777" w:rsidR="004A6789" w:rsidRPr="000C347A" w:rsidRDefault="004A6789" w:rsidP="008E7D7F">
            <w:pPr>
              <w:spacing w:before="120" w:after="120"/>
              <w:rPr>
                <w:rFonts w:ascii="Arial" w:hAnsi="Arial" w:cs="Arial"/>
              </w:rPr>
            </w:pPr>
            <w:r>
              <w:rPr>
                <w:rFonts w:ascii="Arial" w:hAnsi="Arial" w:cs="Arial"/>
              </w:rPr>
              <w:t>IEC Meeting 14</w:t>
            </w:r>
            <w:r w:rsidRPr="000C347A">
              <w:rPr>
                <w:rFonts w:ascii="Arial" w:hAnsi="Arial" w:cs="Arial"/>
              </w:rPr>
              <w:t xml:space="preserve"> </w:t>
            </w:r>
          </w:p>
          <w:p w14:paraId="72F8FBAF" w14:textId="3AD249D9" w:rsidR="004A6789" w:rsidRPr="00267F01" w:rsidRDefault="001A7772" w:rsidP="008E7D7F">
            <w:pPr>
              <w:spacing w:before="120" w:after="120"/>
              <w:rPr>
                <w:rFonts w:ascii="Arial" w:hAnsi="Arial" w:cs="Arial"/>
              </w:rPr>
            </w:pPr>
            <w:r>
              <w:rPr>
                <w:rFonts w:ascii="Arial" w:hAnsi="Arial" w:cs="Arial"/>
              </w:rPr>
              <w:t>18</w:t>
            </w:r>
            <w:r w:rsidR="004A6789" w:rsidRPr="00267F01">
              <w:rPr>
                <w:rFonts w:ascii="Arial" w:hAnsi="Arial" w:cs="Arial"/>
              </w:rPr>
              <w:t xml:space="preserve"> February 2019</w:t>
            </w:r>
          </w:p>
          <w:p w14:paraId="54DC639B" w14:textId="77777777" w:rsidR="004A6789" w:rsidRPr="000C347A" w:rsidRDefault="004A6789" w:rsidP="008E7D7F">
            <w:pPr>
              <w:spacing w:before="120" w:after="120"/>
              <w:rPr>
                <w:rFonts w:ascii="Arial" w:hAnsi="Arial" w:cs="Arial"/>
              </w:rPr>
            </w:pPr>
            <w:r w:rsidRPr="000C347A">
              <w:rPr>
                <w:rFonts w:ascii="Arial" w:hAnsi="Arial" w:cs="Arial"/>
                <w:sz w:val="18"/>
                <w:szCs w:val="18"/>
              </w:rPr>
              <w:t>AEMO Offices &amp; Teleconference</w:t>
            </w:r>
          </w:p>
        </w:tc>
        <w:tc>
          <w:tcPr>
            <w:tcW w:w="6095" w:type="dxa"/>
            <w:vAlign w:val="center"/>
          </w:tcPr>
          <w:p w14:paraId="25E6150A" w14:textId="77777777" w:rsidR="004A6789" w:rsidRPr="000C347A" w:rsidRDefault="004A6789" w:rsidP="004A6789">
            <w:pPr>
              <w:pStyle w:val="ListParagraph"/>
              <w:numPr>
                <w:ilvl w:val="0"/>
                <w:numId w:val="13"/>
              </w:numPr>
              <w:spacing w:before="120" w:after="120"/>
              <w:contextualSpacing w:val="0"/>
              <w:rPr>
                <w:rFonts w:cs="Arial"/>
              </w:rPr>
            </w:pPr>
            <w:r w:rsidRPr="000C347A">
              <w:rPr>
                <w:rFonts w:cs="Arial"/>
              </w:rPr>
              <w:t>Priorities for 201</w:t>
            </w:r>
            <w:r>
              <w:rPr>
                <w:rFonts w:cs="Arial"/>
              </w:rPr>
              <w:t>9</w:t>
            </w:r>
            <w:r w:rsidRPr="000C347A">
              <w:rPr>
                <w:rFonts w:cs="Arial"/>
              </w:rPr>
              <w:t xml:space="preserve"> – Strategy Session (discussion)</w:t>
            </w:r>
          </w:p>
          <w:p w14:paraId="06C1F169" w14:textId="77777777" w:rsidR="004A6789" w:rsidRDefault="004A6789" w:rsidP="004A6789">
            <w:pPr>
              <w:pStyle w:val="ListParagraph"/>
              <w:numPr>
                <w:ilvl w:val="0"/>
                <w:numId w:val="13"/>
              </w:numPr>
              <w:spacing w:before="120" w:after="120"/>
              <w:contextualSpacing w:val="0"/>
              <w:rPr>
                <w:rFonts w:cs="Arial"/>
              </w:rPr>
            </w:pPr>
            <w:r w:rsidRPr="000C347A">
              <w:rPr>
                <w:rFonts w:cs="Arial"/>
              </w:rPr>
              <w:t xml:space="preserve">B2B </w:t>
            </w:r>
            <w:r>
              <w:rPr>
                <w:rFonts w:cs="Arial"/>
              </w:rPr>
              <w:t>Working Group</w:t>
            </w:r>
            <w:r w:rsidRPr="000C347A">
              <w:rPr>
                <w:rFonts w:cs="Arial"/>
              </w:rPr>
              <w:t xml:space="preserve"> </w:t>
            </w:r>
            <w:r>
              <w:rPr>
                <w:rFonts w:cs="Arial"/>
              </w:rPr>
              <w:t>–</w:t>
            </w:r>
            <w:r w:rsidRPr="000C347A">
              <w:rPr>
                <w:rFonts w:cs="Arial"/>
              </w:rPr>
              <w:t xml:space="preserve"> </w:t>
            </w:r>
            <w:r>
              <w:rPr>
                <w:rFonts w:cs="Arial"/>
              </w:rPr>
              <w:t xml:space="preserve">Membership update </w:t>
            </w:r>
            <w:r w:rsidRPr="000C347A">
              <w:rPr>
                <w:rFonts w:cs="Arial"/>
              </w:rPr>
              <w:t>(discussion)</w:t>
            </w:r>
          </w:p>
          <w:p w14:paraId="5956F547" w14:textId="77777777" w:rsidR="00F61AA5" w:rsidRDefault="00F61AA5" w:rsidP="004A6789">
            <w:pPr>
              <w:pStyle w:val="ListParagraph"/>
              <w:numPr>
                <w:ilvl w:val="0"/>
                <w:numId w:val="13"/>
              </w:numPr>
              <w:spacing w:before="120" w:after="120"/>
              <w:contextualSpacing w:val="0"/>
              <w:rPr>
                <w:rFonts w:cs="Arial"/>
              </w:rPr>
            </w:pPr>
            <w:r>
              <w:rPr>
                <w:rFonts w:cs="Arial"/>
              </w:rPr>
              <w:t>Finalisation of 2019-20 budget for submission to AEMO</w:t>
            </w:r>
          </w:p>
          <w:p w14:paraId="780C7E1B" w14:textId="77777777" w:rsidR="00F61AA5" w:rsidRDefault="00F61AA5" w:rsidP="004A6789">
            <w:pPr>
              <w:pStyle w:val="ListParagraph"/>
              <w:numPr>
                <w:ilvl w:val="0"/>
                <w:numId w:val="13"/>
              </w:numPr>
              <w:spacing w:before="120" w:after="120"/>
              <w:contextualSpacing w:val="0"/>
              <w:rPr>
                <w:rFonts w:cs="Arial"/>
              </w:rPr>
            </w:pPr>
            <w:r>
              <w:rPr>
                <w:rFonts w:cs="Arial"/>
              </w:rPr>
              <w:t>Finalisation of the Annual Report for 2018 for provision to AEMO for publication</w:t>
            </w:r>
          </w:p>
          <w:p w14:paraId="124EBF6F" w14:textId="77777777" w:rsidR="004A6789" w:rsidRDefault="004A6789" w:rsidP="004A6789">
            <w:pPr>
              <w:pStyle w:val="ListParagraph"/>
              <w:numPr>
                <w:ilvl w:val="0"/>
                <w:numId w:val="13"/>
              </w:numPr>
              <w:spacing w:before="120" w:after="120"/>
              <w:contextualSpacing w:val="0"/>
              <w:rPr>
                <w:rFonts w:cs="Arial"/>
              </w:rPr>
            </w:pPr>
            <w:r>
              <w:rPr>
                <w:rFonts w:cs="Arial"/>
              </w:rPr>
              <w:t>B2B Working Group – update on deferred PoC transactions (progress report)</w:t>
            </w:r>
          </w:p>
          <w:p w14:paraId="7212AEE8" w14:textId="06B6C1FF" w:rsidR="004A6789" w:rsidRPr="000C347A" w:rsidRDefault="004A6789" w:rsidP="004A6789">
            <w:pPr>
              <w:pStyle w:val="ListParagraph"/>
              <w:numPr>
                <w:ilvl w:val="0"/>
                <w:numId w:val="13"/>
              </w:numPr>
              <w:spacing w:before="120" w:after="120"/>
              <w:contextualSpacing w:val="0"/>
              <w:rPr>
                <w:rFonts w:cs="Arial"/>
              </w:rPr>
            </w:pPr>
            <w:r>
              <w:rPr>
                <w:rFonts w:cs="Arial"/>
              </w:rPr>
              <w:t>Update on</w:t>
            </w:r>
            <w:r w:rsidR="00263EAE">
              <w:rPr>
                <w:rFonts w:cs="Arial"/>
              </w:rPr>
              <w:t xml:space="preserve"> analysis on B2B impacts from 5</w:t>
            </w:r>
            <w:r>
              <w:rPr>
                <w:rFonts w:cs="Arial"/>
              </w:rPr>
              <w:t>MS project (discussion)</w:t>
            </w:r>
          </w:p>
          <w:p w14:paraId="51CCF337" w14:textId="7B9850E2" w:rsidR="004A6789" w:rsidRPr="00630AE7" w:rsidRDefault="004A6789" w:rsidP="004A6789">
            <w:pPr>
              <w:pStyle w:val="ListParagraph"/>
              <w:numPr>
                <w:ilvl w:val="0"/>
                <w:numId w:val="14"/>
              </w:numPr>
              <w:spacing w:before="120" w:after="120"/>
              <w:contextualSpacing w:val="0"/>
              <w:rPr>
                <w:rFonts w:ascii="Arial" w:hAnsi="Arial" w:cs="Arial"/>
              </w:rPr>
            </w:pPr>
            <w:r w:rsidRPr="000C347A">
              <w:rPr>
                <w:rFonts w:cs="Arial"/>
              </w:rPr>
              <w:t xml:space="preserve">Standing Data Review </w:t>
            </w:r>
            <w:r>
              <w:rPr>
                <w:rFonts w:cs="Arial"/>
              </w:rPr>
              <w:t xml:space="preserve">and DER Register Project </w:t>
            </w:r>
            <w:r w:rsidRPr="000C347A">
              <w:rPr>
                <w:rFonts w:cs="Arial"/>
              </w:rPr>
              <w:t xml:space="preserve">– </w:t>
            </w:r>
            <w:r w:rsidR="00263EAE">
              <w:rPr>
                <w:rFonts w:cs="Arial"/>
              </w:rPr>
              <w:t xml:space="preserve">update </w:t>
            </w:r>
            <w:r w:rsidR="00263EAE" w:rsidRPr="000C347A">
              <w:rPr>
                <w:rFonts w:cs="Arial"/>
              </w:rPr>
              <w:t>(</w:t>
            </w:r>
            <w:r w:rsidRPr="000C347A">
              <w:rPr>
                <w:rFonts w:cs="Arial"/>
              </w:rPr>
              <w:t>discussion)</w:t>
            </w:r>
          </w:p>
          <w:p w14:paraId="3E9B656A" w14:textId="77777777" w:rsidR="00630AE7" w:rsidRPr="00630AE7" w:rsidRDefault="00630AE7" w:rsidP="004A6789">
            <w:pPr>
              <w:pStyle w:val="ListParagraph"/>
              <w:numPr>
                <w:ilvl w:val="0"/>
                <w:numId w:val="14"/>
              </w:numPr>
              <w:spacing w:before="120" w:after="120"/>
              <w:contextualSpacing w:val="0"/>
              <w:rPr>
                <w:rFonts w:ascii="Arial" w:hAnsi="Arial" w:cs="Arial"/>
              </w:rPr>
            </w:pPr>
            <w:r>
              <w:rPr>
                <w:rFonts w:cs="Arial"/>
              </w:rPr>
              <w:t>AEMC Metering Installation Timeframes Rule Change – B2B impacts</w:t>
            </w:r>
          </w:p>
          <w:p w14:paraId="6A8E6494" w14:textId="77777777" w:rsidR="00630AE7" w:rsidRPr="00CA4AEF" w:rsidRDefault="00630AE7" w:rsidP="004A6789">
            <w:pPr>
              <w:pStyle w:val="ListParagraph"/>
              <w:numPr>
                <w:ilvl w:val="0"/>
                <w:numId w:val="14"/>
              </w:numPr>
              <w:spacing w:before="120" w:after="120"/>
              <w:contextualSpacing w:val="0"/>
              <w:rPr>
                <w:rFonts w:ascii="Arial" w:hAnsi="Arial" w:cs="Arial"/>
              </w:rPr>
            </w:pPr>
            <w:r>
              <w:rPr>
                <w:rFonts w:cs="Arial"/>
              </w:rPr>
              <w:t>NOMW Change Proposal solution from B2BWG</w:t>
            </w:r>
          </w:p>
          <w:p w14:paraId="73B57022" w14:textId="77777777" w:rsidR="004A6789" w:rsidRPr="000C347A" w:rsidRDefault="004A6789" w:rsidP="004A6789">
            <w:pPr>
              <w:pStyle w:val="ListParagraph"/>
              <w:numPr>
                <w:ilvl w:val="0"/>
                <w:numId w:val="14"/>
              </w:numPr>
              <w:spacing w:before="120" w:after="120"/>
              <w:contextualSpacing w:val="0"/>
              <w:rPr>
                <w:rFonts w:ascii="Arial" w:hAnsi="Arial" w:cs="Arial"/>
              </w:rPr>
            </w:pPr>
            <w:r>
              <w:rPr>
                <w:rFonts w:cs="Arial"/>
              </w:rPr>
              <w:t xml:space="preserve">Potential options to improve flexibility on the existing B2B platform – update (discussion) </w:t>
            </w:r>
          </w:p>
        </w:tc>
      </w:tr>
      <w:tr w:rsidR="004A6789" w:rsidRPr="006E4A25" w14:paraId="7B9F17D6" w14:textId="77777777" w:rsidTr="008E7D7F">
        <w:tc>
          <w:tcPr>
            <w:tcW w:w="3539" w:type="dxa"/>
          </w:tcPr>
          <w:p w14:paraId="7ADD3E9D" w14:textId="77777777" w:rsidR="004A6789" w:rsidRPr="006E4A25" w:rsidRDefault="004A6789" w:rsidP="008E7D7F">
            <w:pPr>
              <w:spacing w:before="120" w:after="120"/>
              <w:rPr>
                <w:rFonts w:ascii="Arial" w:hAnsi="Arial" w:cs="Arial"/>
              </w:rPr>
            </w:pPr>
            <w:r>
              <w:rPr>
                <w:rFonts w:ascii="Arial" w:hAnsi="Arial" w:cs="Arial"/>
              </w:rPr>
              <w:t>IEC Meeting 15</w:t>
            </w:r>
          </w:p>
          <w:p w14:paraId="14B7F530" w14:textId="26E1F3FB" w:rsidR="004A6789" w:rsidRPr="006E4A25" w:rsidRDefault="001A7772" w:rsidP="008E7D7F">
            <w:pPr>
              <w:spacing w:before="120" w:after="120"/>
              <w:rPr>
                <w:rFonts w:ascii="Arial" w:hAnsi="Arial" w:cs="Arial"/>
              </w:rPr>
            </w:pPr>
            <w:r>
              <w:rPr>
                <w:rFonts w:ascii="Arial" w:hAnsi="Arial" w:cs="Arial"/>
              </w:rPr>
              <w:t>13 May</w:t>
            </w:r>
            <w:r w:rsidR="004A6789" w:rsidRPr="006E4A25">
              <w:rPr>
                <w:rFonts w:ascii="Arial" w:hAnsi="Arial" w:cs="Arial"/>
              </w:rPr>
              <w:t xml:space="preserve"> 201</w:t>
            </w:r>
            <w:r w:rsidR="004A6789">
              <w:rPr>
                <w:rFonts w:ascii="Arial" w:hAnsi="Arial" w:cs="Arial"/>
              </w:rPr>
              <w:t>9</w:t>
            </w:r>
          </w:p>
          <w:p w14:paraId="7045F87E" w14:textId="77777777" w:rsidR="004A6789" w:rsidRPr="006E4A25" w:rsidRDefault="004A6789" w:rsidP="008E7D7F">
            <w:pPr>
              <w:spacing w:before="120" w:after="120"/>
              <w:rPr>
                <w:rFonts w:ascii="Arial" w:hAnsi="Arial" w:cs="Arial"/>
              </w:rPr>
            </w:pPr>
            <w:r w:rsidRPr="006E4A25">
              <w:rPr>
                <w:rFonts w:ascii="Arial" w:hAnsi="Arial" w:cs="Arial"/>
                <w:sz w:val="18"/>
                <w:szCs w:val="18"/>
              </w:rPr>
              <w:t>AEMO Offices &amp; Teleconference</w:t>
            </w:r>
          </w:p>
        </w:tc>
        <w:tc>
          <w:tcPr>
            <w:tcW w:w="6095" w:type="dxa"/>
            <w:vAlign w:val="center"/>
          </w:tcPr>
          <w:p w14:paraId="475AF39B" w14:textId="77777777" w:rsidR="004A6789" w:rsidRDefault="004A6789" w:rsidP="001A7772">
            <w:pPr>
              <w:pStyle w:val="ListParagraph"/>
              <w:numPr>
                <w:ilvl w:val="0"/>
                <w:numId w:val="14"/>
              </w:numPr>
              <w:spacing w:before="120" w:after="120"/>
              <w:contextualSpacing w:val="0"/>
              <w:rPr>
                <w:rFonts w:cs="Arial"/>
              </w:rPr>
            </w:pPr>
            <w:r>
              <w:rPr>
                <w:rFonts w:cs="Arial"/>
              </w:rPr>
              <w:t xml:space="preserve">Mapping the </w:t>
            </w:r>
            <w:r w:rsidRPr="006E4A25">
              <w:rPr>
                <w:rFonts w:cs="Arial"/>
              </w:rPr>
              <w:t>B2B procedure program</w:t>
            </w:r>
            <w:r>
              <w:rPr>
                <w:rFonts w:cs="Arial"/>
              </w:rPr>
              <w:t xml:space="preserve"> for the remainder of 2019</w:t>
            </w:r>
            <w:r w:rsidRPr="006E4A25">
              <w:rPr>
                <w:rFonts w:cs="Arial"/>
              </w:rPr>
              <w:t xml:space="preserve"> (discussion)</w:t>
            </w:r>
          </w:p>
          <w:p w14:paraId="074068A3" w14:textId="77777777" w:rsidR="004A6789" w:rsidRPr="006E4A25" w:rsidRDefault="004A6789" w:rsidP="001A7772">
            <w:pPr>
              <w:pStyle w:val="ListParagraph"/>
              <w:numPr>
                <w:ilvl w:val="0"/>
                <w:numId w:val="14"/>
              </w:numPr>
              <w:spacing w:before="120" w:after="120"/>
              <w:contextualSpacing w:val="0"/>
              <w:rPr>
                <w:rFonts w:cs="Arial"/>
              </w:rPr>
            </w:pPr>
            <w:r>
              <w:rPr>
                <w:rFonts w:cs="Arial"/>
              </w:rPr>
              <w:t>Customer data rights – update (discussion)</w:t>
            </w:r>
          </w:p>
          <w:p w14:paraId="5EF5F978" w14:textId="16202219" w:rsidR="001A7772" w:rsidRPr="009D4BF5" w:rsidRDefault="004A6789" w:rsidP="001A7772">
            <w:pPr>
              <w:pStyle w:val="ListParagraph"/>
              <w:numPr>
                <w:ilvl w:val="0"/>
                <w:numId w:val="14"/>
              </w:numPr>
              <w:spacing w:before="120" w:after="120"/>
              <w:contextualSpacing w:val="0"/>
              <w:rPr>
                <w:rFonts w:ascii="Arial" w:hAnsi="Arial" w:cs="Arial"/>
              </w:rPr>
            </w:pPr>
            <w:r>
              <w:rPr>
                <w:rFonts w:cs="Arial"/>
              </w:rPr>
              <w:t>Final recommendation on B2B impacts from 5MS project</w:t>
            </w:r>
            <w:r w:rsidRPr="006E4A25">
              <w:rPr>
                <w:rFonts w:cs="Arial"/>
              </w:rPr>
              <w:t xml:space="preserve"> </w:t>
            </w:r>
            <w:r w:rsidR="001A7772">
              <w:rPr>
                <w:rFonts w:cs="Arial"/>
              </w:rPr>
              <w:t>and close out of 5MS Project legislative requirements for the IEC</w:t>
            </w:r>
            <w:r w:rsidR="001A7772" w:rsidRPr="006E4A25">
              <w:rPr>
                <w:rFonts w:cs="Arial"/>
              </w:rPr>
              <w:t xml:space="preserve"> (discussion</w:t>
            </w:r>
            <w:r w:rsidR="001A7772">
              <w:rPr>
                <w:rFonts w:cs="Arial"/>
              </w:rPr>
              <w:t xml:space="preserve"> / approval</w:t>
            </w:r>
            <w:r w:rsidR="001A7772" w:rsidRPr="006E4A25">
              <w:rPr>
                <w:rFonts w:cs="Arial"/>
              </w:rPr>
              <w:t>)</w:t>
            </w:r>
          </w:p>
          <w:p w14:paraId="3C27C3F3" w14:textId="77777777" w:rsidR="004A6789" w:rsidRPr="001A7772" w:rsidRDefault="001A7772" w:rsidP="001A7772">
            <w:pPr>
              <w:pStyle w:val="ListParagraph"/>
              <w:numPr>
                <w:ilvl w:val="0"/>
                <w:numId w:val="14"/>
              </w:numPr>
              <w:spacing w:before="120" w:after="120"/>
              <w:contextualSpacing w:val="0"/>
              <w:rPr>
                <w:rFonts w:ascii="Arial" w:hAnsi="Arial" w:cs="Arial"/>
              </w:rPr>
            </w:pPr>
            <w:r w:rsidRPr="006E4A25">
              <w:rPr>
                <w:rFonts w:cs="Arial"/>
              </w:rPr>
              <w:t xml:space="preserve"> </w:t>
            </w:r>
            <w:r w:rsidR="004A6789">
              <w:rPr>
                <w:rFonts w:cs="Arial"/>
              </w:rPr>
              <w:t>Update on DER Program of work (AEMO) – (discussion)</w:t>
            </w:r>
          </w:p>
          <w:p w14:paraId="5C951FB0" w14:textId="5A8F96C3" w:rsidR="001A7772" w:rsidRPr="008E7DE1" w:rsidRDefault="001A7772" w:rsidP="001A7772">
            <w:pPr>
              <w:pStyle w:val="ListParagraph"/>
              <w:numPr>
                <w:ilvl w:val="0"/>
                <w:numId w:val="14"/>
              </w:numPr>
              <w:spacing w:before="120" w:after="120"/>
              <w:contextualSpacing w:val="0"/>
              <w:rPr>
                <w:rFonts w:ascii="Arial" w:hAnsi="Arial" w:cs="Arial"/>
              </w:rPr>
            </w:pPr>
            <w:r w:rsidRPr="000C347A">
              <w:rPr>
                <w:rFonts w:cs="Arial"/>
              </w:rPr>
              <w:t xml:space="preserve">Standing Data Review </w:t>
            </w:r>
            <w:r>
              <w:rPr>
                <w:rFonts w:cs="Arial"/>
              </w:rPr>
              <w:t xml:space="preserve">and DER Register Project </w:t>
            </w:r>
            <w:r w:rsidRPr="000C347A">
              <w:rPr>
                <w:rFonts w:cs="Arial"/>
              </w:rPr>
              <w:t xml:space="preserve">– </w:t>
            </w:r>
            <w:r w:rsidR="0070524B">
              <w:rPr>
                <w:rFonts w:cs="Arial"/>
              </w:rPr>
              <w:t xml:space="preserve">update </w:t>
            </w:r>
            <w:r w:rsidR="0070524B" w:rsidRPr="000C347A">
              <w:rPr>
                <w:rFonts w:cs="Arial"/>
              </w:rPr>
              <w:t>(</w:t>
            </w:r>
            <w:r w:rsidRPr="000C347A">
              <w:rPr>
                <w:rFonts w:cs="Arial"/>
              </w:rPr>
              <w:t>discussion)</w:t>
            </w:r>
          </w:p>
          <w:p w14:paraId="38C3CEC8" w14:textId="77777777" w:rsidR="001A7772" w:rsidRPr="001A7772" w:rsidRDefault="001A7772" w:rsidP="001A7772">
            <w:pPr>
              <w:pStyle w:val="ListParagraph"/>
              <w:numPr>
                <w:ilvl w:val="0"/>
                <w:numId w:val="14"/>
              </w:numPr>
              <w:spacing w:before="120" w:after="120"/>
              <w:contextualSpacing w:val="0"/>
              <w:rPr>
                <w:rFonts w:ascii="Arial" w:hAnsi="Arial" w:cs="Arial"/>
              </w:rPr>
            </w:pPr>
            <w:r>
              <w:rPr>
                <w:rFonts w:cs="Arial"/>
              </w:rPr>
              <w:t>Potential options to improve flexibility on the existing B2B platform – update (discussion)</w:t>
            </w:r>
          </w:p>
          <w:p w14:paraId="5383A007" w14:textId="7368F518" w:rsidR="001A7772" w:rsidRPr="001A7772" w:rsidRDefault="001A7772" w:rsidP="001A7772">
            <w:pPr>
              <w:pStyle w:val="ListParagraph"/>
              <w:numPr>
                <w:ilvl w:val="0"/>
                <w:numId w:val="14"/>
              </w:numPr>
              <w:spacing w:before="120" w:after="120"/>
              <w:contextualSpacing w:val="0"/>
              <w:rPr>
                <w:rFonts w:cs="Arial"/>
              </w:rPr>
            </w:pPr>
            <w:r>
              <w:rPr>
                <w:rFonts w:cs="Arial"/>
              </w:rPr>
              <w:t>B2B Working Group – close out report on deferred PoC transactions (decision)</w:t>
            </w:r>
          </w:p>
        </w:tc>
      </w:tr>
      <w:tr w:rsidR="004A6789" w:rsidRPr="006E4A25" w14:paraId="5CEE7EA7" w14:textId="77777777" w:rsidTr="008E7D7F">
        <w:tc>
          <w:tcPr>
            <w:tcW w:w="3539" w:type="dxa"/>
          </w:tcPr>
          <w:p w14:paraId="2234D743" w14:textId="77777777" w:rsidR="004A6789" w:rsidRPr="006E4A25" w:rsidRDefault="004A6789" w:rsidP="008E7D7F">
            <w:pPr>
              <w:spacing w:before="120" w:after="120"/>
              <w:rPr>
                <w:rFonts w:ascii="Arial" w:hAnsi="Arial" w:cs="Arial"/>
              </w:rPr>
            </w:pPr>
            <w:r w:rsidRPr="006E4A25">
              <w:rPr>
                <w:rFonts w:ascii="Arial" w:hAnsi="Arial" w:cs="Arial"/>
              </w:rPr>
              <w:t>IEC Meeting 1</w:t>
            </w:r>
            <w:r>
              <w:rPr>
                <w:rFonts w:ascii="Arial" w:hAnsi="Arial" w:cs="Arial"/>
              </w:rPr>
              <w:t>7</w:t>
            </w:r>
          </w:p>
          <w:p w14:paraId="6032F4E9" w14:textId="1000B90B" w:rsidR="004A6789" w:rsidRPr="00267F01" w:rsidRDefault="001A7772" w:rsidP="008E7D7F">
            <w:pPr>
              <w:spacing w:before="120" w:after="120"/>
              <w:rPr>
                <w:rFonts w:ascii="Arial" w:hAnsi="Arial" w:cs="Arial"/>
              </w:rPr>
            </w:pPr>
            <w:r>
              <w:rPr>
                <w:rFonts w:ascii="Arial" w:hAnsi="Arial" w:cs="Arial"/>
              </w:rPr>
              <w:t>12 August</w:t>
            </w:r>
            <w:r w:rsidR="004A6789" w:rsidRPr="00267F01">
              <w:rPr>
                <w:rFonts w:ascii="Arial" w:hAnsi="Arial" w:cs="Arial"/>
              </w:rPr>
              <w:t xml:space="preserve"> 2019</w:t>
            </w:r>
          </w:p>
          <w:p w14:paraId="1DEA8B1A" w14:textId="77777777" w:rsidR="004A6789" w:rsidRPr="006E4A25" w:rsidRDefault="004A6789" w:rsidP="008E7D7F">
            <w:pPr>
              <w:spacing w:before="120" w:after="120"/>
              <w:rPr>
                <w:rFonts w:ascii="Arial" w:hAnsi="Arial" w:cs="Arial"/>
              </w:rPr>
            </w:pPr>
            <w:r w:rsidRPr="006E4A25">
              <w:rPr>
                <w:rFonts w:ascii="Arial" w:hAnsi="Arial" w:cs="Arial"/>
                <w:sz w:val="18"/>
                <w:szCs w:val="18"/>
              </w:rPr>
              <w:lastRenderedPageBreak/>
              <w:t>AEMO Offices &amp; Teleconference</w:t>
            </w:r>
          </w:p>
        </w:tc>
        <w:tc>
          <w:tcPr>
            <w:tcW w:w="6095" w:type="dxa"/>
            <w:vAlign w:val="center"/>
          </w:tcPr>
          <w:p w14:paraId="49E732F8" w14:textId="77777777" w:rsidR="004A6789" w:rsidRPr="006E4A25" w:rsidRDefault="004A6789" w:rsidP="004A6789">
            <w:pPr>
              <w:pStyle w:val="ListParagraph"/>
              <w:numPr>
                <w:ilvl w:val="0"/>
                <w:numId w:val="14"/>
              </w:numPr>
              <w:spacing w:before="120" w:after="120"/>
              <w:contextualSpacing w:val="0"/>
              <w:rPr>
                <w:rFonts w:cs="Arial"/>
              </w:rPr>
            </w:pPr>
            <w:r w:rsidRPr="006E4A25">
              <w:rPr>
                <w:rFonts w:cs="Arial"/>
              </w:rPr>
              <w:lastRenderedPageBreak/>
              <w:t>Update on B2B procedure program (for discussion)</w:t>
            </w:r>
          </w:p>
          <w:p w14:paraId="459B3BB8" w14:textId="77777777" w:rsidR="004A6789" w:rsidRPr="006E4A25" w:rsidRDefault="004A6789" w:rsidP="004A6789">
            <w:pPr>
              <w:pStyle w:val="ListParagraph"/>
              <w:numPr>
                <w:ilvl w:val="0"/>
                <w:numId w:val="14"/>
              </w:numPr>
              <w:spacing w:before="120" w:after="120"/>
              <w:contextualSpacing w:val="0"/>
              <w:rPr>
                <w:rFonts w:cs="Arial"/>
              </w:rPr>
            </w:pPr>
            <w:r>
              <w:rPr>
                <w:rFonts w:cs="Arial"/>
              </w:rPr>
              <w:t>Customer data rights – update (discussion)</w:t>
            </w:r>
          </w:p>
          <w:p w14:paraId="40822C69" w14:textId="40BB3C2F" w:rsidR="004A6789" w:rsidRPr="001A7772" w:rsidRDefault="004A6789" w:rsidP="001A7772">
            <w:pPr>
              <w:pStyle w:val="ListParagraph"/>
              <w:numPr>
                <w:ilvl w:val="0"/>
                <w:numId w:val="14"/>
              </w:numPr>
              <w:spacing w:before="120" w:after="120"/>
              <w:contextualSpacing w:val="0"/>
              <w:rPr>
                <w:rFonts w:ascii="Arial" w:hAnsi="Arial" w:cs="Arial"/>
              </w:rPr>
            </w:pPr>
            <w:r w:rsidRPr="000C347A">
              <w:rPr>
                <w:rFonts w:cs="Arial"/>
              </w:rPr>
              <w:lastRenderedPageBreak/>
              <w:t xml:space="preserve">Standing Data Review </w:t>
            </w:r>
            <w:r>
              <w:rPr>
                <w:rFonts w:cs="Arial"/>
              </w:rPr>
              <w:t xml:space="preserve">and DER Register Project </w:t>
            </w:r>
            <w:r w:rsidRPr="000C347A">
              <w:rPr>
                <w:rFonts w:cs="Arial"/>
              </w:rPr>
              <w:t xml:space="preserve">– </w:t>
            </w:r>
            <w:r w:rsidR="0070524B">
              <w:rPr>
                <w:rFonts w:cs="Arial"/>
              </w:rPr>
              <w:t xml:space="preserve">update </w:t>
            </w:r>
            <w:r w:rsidR="0070524B" w:rsidRPr="000C347A">
              <w:rPr>
                <w:rFonts w:cs="Arial"/>
              </w:rPr>
              <w:t>(</w:t>
            </w:r>
            <w:r w:rsidRPr="000C347A">
              <w:rPr>
                <w:rFonts w:cs="Arial"/>
              </w:rPr>
              <w:t>discussion)</w:t>
            </w:r>
          </w:p>
        </w:tc>
      </w:tr>
      <w:tr w:rsidR="004A6789" w:rsidRPr="006E4A25" w14:paraId="0400174E" w14:textId="77777777" w:rsidTr="008E7D7F">
        <w:tc>
          <w:tcPr>
            <w:tcW w:w="3539" w:type="dxa"/>
          </w:tcPr>
          <w:p w14:paraId="447DA396" w14:textId="77777777" w:rsidR="004A6789" w:rsidRPr="006E4A25" w:rsidRDefault="004A6789" w:rsidP="008E7D7F">
            <w:pPr>
              <w:spacing w:before="120" w:after="120"/>
              <w:rPr>
                <w:rFonts w:ascii="Arial" w:hAnsi="Arial" w:cs="Arial"/>
              </w:rPr>
            </w:pPr>
            <w:r w:rsidRPr="006E4A25">
              <w:rPr>
                <w:rFonts w:ascii="Arial" w:hAnsi="Arial" w:cs="Arial"/>
              </w:rPr>
              <w:lastRenderedPageBreak/>
              <w:t>IEC Meeting 1</w:t>
            </w:r>
            <w:r>
              <w:rPr>
                <w:rFonts w:ascii="Arial" w:hAnsi="Arial" w:cs="Arial"/>
              </w:rPr>
              <w:t>8</w:t>
            </w:r>
          </w:p>
          <w:p w14:paraId="22F97FF2" w14:textId="468EC74D" w:rsidR="004A6789" w:rsidRPr="00267F01" w:rsidRDefault="001A7772" w:rsidP="008E7D7F">
            <w:pPr>
              <w:spacing w:before="120" w:after="120"/>
              <w:rPr>
                <w:rFonts w:ascii="Arial" w:hAnsi="Arial" w:cs="Arial"/>
              </w:rPr>
            </w:pPr>
            <w:r>
              <w:rPr>
                <w:rFonts w:ascii="Arial" w:hAnsi="Arial" w:cs="Arial"/>
              </w:rPr>
              <w:t>11</w:t>
            </w:r>
            <w:r w:rsidR="004A6789" w:rsidRPr="00267F01">
              <w:rPr>
                <w:rFonts w:ascii="Arial" w:hAnsi="Arial" w:cs="Arial"/>
              </w:rPr>
              <w:t xml:space="preserve"> November 2019</w:t>
            </w:r>
          </w:p>
          <w:p w14:paraId="58AE2135" w14:textId="77777777" w:rsidR="004A6789" w:rsidRPr="006E4A25" w:rsidRDefault="004A6789" w:rsidP="008E7D7F">
            <w:pPr>
              <w:spacing w:before="120" w:after="120"/>
              <w:rPr>
                <w:rFonts w:ascii="Arial" w:hAnsi="Arial" w:cs="Arial"/>
              </w:rPr>
            </w:pPr>
            <w:r w:rsidRPr="006E4A25">
              <w:rPr>
                <w:rFonts w:ascii="Arial" w:hAnsi="Arial" w:cs="Arial"/>
                <w:sz w:val="18"/>
                <w:szCs w:val="18"/>
              </w:rPr>
              <w:t xml:space="preserve">AEMO </w:t>
            </w:r>
            <w:r>
              <w:rPr>
                <w:rFonts w:ascii="Arial" w:hAnsi="Arial" w:cs="Arial"/>
                <w:sz w:val="18"/>
                <w:szCs w:val="18"/>
              </w:rPr>
              <w:t xml:space="preserve">Melbourne </w:t>
            </w:r>
            <w:r w:rsidRPr="006E4A25">
              <w:rPr>
                <w:rFonts w:ascii="Arial" w:hAnsi="Arial" w:cs="Arial"/>
                <w:sz w:val="18"/>
                <w:szCs w:val="18"/>
              </w:rPr>
              <w:t>Office</w:t>
            </w:r>
            <w:r>
              <w:rPr>
                <w:rFonts w:ascii="Arial" w:hAnsi="Arial" w:cs="Arial"/>
                <w:sz w:val="18"/>
                <w:szCs w:val="18"/>
              </w:rPr>
              <w:t xml:space="preserve"> (face-to-face)</w:t>
            </w:r>
          </w:p>
        </w:tc>
        <w:tc>
          <w:tcPr>
            <w:tcW w:w="6095" w:type="dxa"/>
            <w:vAlign w:val="center"/>
          </w:tcPr>
          <w:p w14:paraId="2B3CD43C" w14:textId="77777777" w:rsidR="004A6789" w:rsidRDefault="004A6789" w:rsidP="004A6789">
            <w:pPr>
              <w:pStyle w:val="ListParagraph"/>
              <w:numPr>
                <w:ilvl w:val="0"/>
                <w:numId w:val="14"/>
              </w:numPr>
              <w:spacing w:before="120" w:after="120"/>
              <w:contextualSpacing w:val="0"/>
              <w:rPr>
                <w:rFonts w:cs="Arial"/>
              </w:rPr>
            </w:pPr>
            <w:r>
              <w:rPr>
                <w:rFonts w:cs="Arial"/>
              </w:rPr>
              <w:t>IEC Forward Plan 2020 (discussion and noting)</w:t>
            </w:r>
          </w:p>
          <w:p w14:paraId="57A6BD70" w14:textId="77777777" w:rsidR="004A6789" w:rsidRPr="006E4A25" w:rsidRDefault="004A6789" w:rsidP="004A6789">
            <w:pPr>
              <w:pStyle w:val="ListParagraph"/>
              <w:numPr>
                <w:ilvl w:val="0"/>
                <w:numId w:val="14"/>
              </w:numPr>
              <w:spacing w:before="120" w:after="120"/>
              <w:contextualSpacing w:val="0"/>
              <w:rPr>
                <w:rFonts w:cs="Arial"/>
              </w:rPr>
            </w:pPr>
            <w:r>
              <w:rPr>
                <w:rFonts w:cs="Arial"/>
              </w:rPr>
              <w:t>IEC Annual R</w:t>
            </w:r>
            <w:r w:rsidRPr="006E4A25">
              <w:rPr>
                <w:rFonts w:cs="Arial"/>
              </w:rPr>
              <w:t>eport (decision)</w:t>
            </w:r>
          </w:p>
          <w:p w14:paraId="32BE6202" w14:textId="77777777" w:rsidR="004A6789" w:rsidRDefault="004A6789" w:rsidP="004A6789">
            <w:pPr>
              <w:pStyle w:val="ListParagraph"/>
              <w:numPr>
                <w:ilvl w:val="0"/>
                <w:numId w:val="14"/>
              </w:numPr>
              <w:spacing w:before="120" w:after="120"/>
              <w:contextualSpacing w:val="0"/>
              <w:rPr>
                <w:rFonts w:cs="Arial"/>
              </w:rPr>
            </w:pPr>
            <w:r>
              <w:rPr>
                <w:rFonts w:cs="Arial"/>
              </w:rPr>
              <w:t>IEC draft budget 2020</w:t>
            </w:r>
            <w:r w:rsidRPr="006E4A25">
              <w:rPr>
                <w:rFonts w:cs="Arial"/>
              </w:rPr>
              <w:t>/2</w:t>
            </w:r>
            <w:r>
              <w:rPr>
                <w:rFonts w:cs="Arial"/>
              </w:rPr>
              <w:t>1</w:t>
            </w:r>
            <w:r w:rsidRPr="006E4A25">
              <w:rPr>
                <w:rFonts w:cs="Arial"/>
              </w:rPr>
              <w:t xml:space="preserve"> (decision)</w:t>
            </w:r>
          </w:p>
          <w:p w14:paraId="4CC2A4EB" w14:textId="77777777" w:rsidR="004A6789" w:rsidRDefault="004A6789" w:rsidP="004A6789">
            <w:pPr>
              <w:pStyle w:val="ListParagraph"/>
              <w:numPr>
                <w:ilvl w:val="0"/>
                <w:numId w:val="14"/>
              </w:numPr>
              <w:spacing w:before="120" w:after="120"/>
              <w:contextualSpacing w:val="0"/>
              <w:rPr>
                <w:rFonts w:cs="Arial"/>
              </w:rPr>
            </w:pPr>
            <w:r>
              <w:rPr>
                <w:rFonts w:cs="Arial"/>
              </w:rPr>
              <w:t>DER Register go-live (discussion)</w:t>
            </w:r>
          </w:p>
          <w:p w14:paraId="623D9C11" w14:textId="77777777" w:rsidR="004A6789" w:rsidRDefault="004A6789" w:rsidP="004A6789">
            <w:pPr>
              <w:pStyle w:val="ListParagraph"/>
              <w:numPr>
                <w:ilvl w:val="0"/>
                <w:numId w:val="14"/>
              </w:numPr>
              <w:spacing w:before="120" w:after="120"/>
              <w:contextualSpacing w:val="0"/>
              <w:rPr>
                <w:rFonts w:cs="Arial"/>
              </w:rPr>
            </w:pPr>
            <w:r>
              <w:rPr>
                <w:rFonts w:cs="Arial"/>
              </w:rPr>
              <w:t>Finalisation of Standing Data Review (discussion)</w:t>
            </w:r>
          </w:p>
          <w:p w14:paraId="70992A10" w14:textId="77777777" w:rsidR="004A6789" w:rsidRDefault="004A6789" w:rsidP="004A6789">
            <w:pPr>
              <w:pStyle w:val="ListParagraph"/>
              <w:numPr>
                <w:ilvl w:val="0"/>
                <w:numId w:val="14"/>
              </w:numPr>
              <w:spacing w:before="120" w:after="120"/>
              <w:contextualSpacing w:val="0"/>
              <w:rPr>
                <w:rFonts w:cs="Arial"/>
              </w:rPr>
            </w:pPr>
            <w:r>
              <w:rPr>
                <w:rFonts w:cs="Arial"/>
              </w:rPr>
              <w:t>Customer data rights – update (discussion)</w:t>
            </w:r>
          </w:p>
          <w:p w14:paraId="3EEFAB9D" w14:textId="77777777" w:rsidR="004A6789" w:rsidRDefault="004A6789" w:rsidP="004A6789">
            <w:pPr>
              <w:pStyle w:val="ListParagraph"/>
              <w:numPr>
                <w:ilvl w:val="0"/>
                <w:numId w:val="14"/>
              </w:numPr>
              <w:spacing w:before="120" w:after="120"/>
              <w:contextualSpacing w:val="0"/>
              <w:rPr>
                <w:rFonts w:cs="Arial"/>
              </w:rPr>
            </w:pPr>
            <w:r>
              <w:rPr>
                <w:rFonts w:cs="Arial"/>
              </w:rPr>
              <w:t>Potential options to improve flexibility on the existing B2B platform – update (discussion)</w:t>
            </w:r>
          </w:p>
          <w:p w14:paraId="0B976CFF" w14:textId="77777777" w:rsidR="004A6789" w:rsidRDefault="004A6789" w:rsidP="004A6789">
            <w:pPr>
              <w:pStyle w:val="ListParagraph"/>
              <w:numPr>
                <w:ilvl w:val="0"/>
                <w:numId w:val="14"/>
              </w:numPr>
              <w:spacing w:before="120" w:after="120"/>
              <w:contextualSpacing w:val="0"/>
              <w:rPr>
                <w:rFonts w:cs="Arial"/>
              </w:rPr>
            </w:pPr>
            <w:r w:rsidRPr="006E4A25">
              <w:rPr>
                <w:rFonts w:cs="Arial"/>
              </w:rPr>
              <w:t>B2B procedure program</w:t>
            </w:r>
            <w:r>
              <w:rPr>
                <w:rFonts w:cs="Arial"/>
              </w:rPr>
              <w:t xml:space="preserve"> – achievements for the year and next steps for 2020 (discussion)</w:t>
            </w:r>
          </w:p>
          <w:p w14:paraId="4B3D26A3" w14:textId="77777777" w:rsidR="004A6789" w:rsidRPr="006E4A25" w:rsidRDefault="004A6789" w:rsidP="004A6789">
            <w:pPr>
              <w:pStyle w:val="ListParagraph"/>
              <w:numPr>
                <w:ilvl w:val="0"/>
                <w:numId w:val="14"/>
              </w:numPr>
              <w:spacing w:before="120" w:after="120"/>
              <w:contextualSpacing w:val="0"/>
              <w:rPr>
                <w:rFonts w:cs="Arial"/>
              </w:rPr>
            </w:pPr>
            <w:r>
              <w:rPr>
                <w:rFonts w:cs="Arial"/>
              </w:rPr>
              <w:t>Review of B2B Working Group Terms of Reference and membership (discussion)</w:t>
            </w:r>
          </w:p>
        </w:tc>
      </w:tr>
    </w:tbl>
    <w:p w14:paraId="128AC7E2" w14:textId="77777777" w:rsidR="00756690" w:rsidRPr="00756690" w:rsidRDefault="00756690" w:rsidP="00414D94">
      <w:pPr>
        <w:pageBreakBefore/>
        <w:rPr>
          <w:sz w:val="36"/>
        </w:rPr>
      </w:pPr>
      <w:r w:rsidRPr="00756690">
        <w:rPr>
          <w:sz w:val="36"/>
        </w:rPr>
        <w:lastRenderedPageBreak/>
        <w:t xml:space="preserve">Appendix </w:t>
      </w:r>
      <w:r w:rsidR="004F7E2C">
        <w:rPr>
          <w:sz w:val="36"/>
        </w:rPr>
        <w:t>C</w:t>
      </w:r>
      <w:r w:rsidRPr="00756690">
        <w:rPr>
          <w:sz w:val="36"/>
        </w:rPr>
        <w:t xml:space="preserve"> – IEC Members</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4536"/>
        <w:gridCol w:w="2410"/>
      </w:tblGrid>
      <w:tr w:rsidR="005D7660" w:rsidRPr="00263990" w14:paraId="7A6B51E6" w14:textId="77777777" w:rsidTr="00EF516E">
        <w:tc>
          <w:tcPr>
            <w:tcW w:w="1975" w:type="dxa"/>
            <w:shd w:val="clear" w:color="auto" w:fill="002060"/>
            <w:tcMar>
              <w:top w:w="0" w:type="dxa"/>
              <w:left w:w="108" w:type="dxa"/>
              <w:bottom w:w="0" w:type="dxa"/>
              <w:right w:w="108" w:type="dxa"/>
            </w:tcMar>
            <w:hideMark/>
          </w:tcPr>
          <w:p w14:paraId="7122D395" w14:textId="77777777" w:rsidR="005D7660" w:rsidRPr="00263990" w:rsidRDefault="005D7660">
            <w:pPr>
              <w:pStyle w:val="BodyText"/>
              <w:spacing w:before="60" w:after="60"/>
              <w:rPr>
                <w:b/>
                <w:bCs/>
                <w:szCs w:val="22"/>
              </w:rPr>
            </w:pPr>
            <w:r w:rsidRPr="00263990">
              <w:rPr>
                <w:b/>
                <w:bCs/>
                <w:szCs w:val="22"/>
              </w:rPr>
              <w:t>Member category</w:t>
            </w:r>
          </w:p>
        </w:tc>
        <w:tc>
          <w:tcPr>
            <w:tcW w:w="4536" w:type="dxa"/>
            <w:shd w:val="clear" w:color="auto" w:fill="002060"/>
            <w:tcMar>
              <w:top w:w="0" w:type="dxa"/>
              <w:left w:w="108" w:type="dxa"/>
              <w:bottom w:w="0" w:type="dxa"/>
              <w:right w:w="108" w:type="dxa"/>
            </w:tcMar>
            <w:hideMark/>
          </w:tcPr>
          <w:p w14:paraId="601BFAF4" w14:textId="77777777" w:rsidR="005D7660" w:rsidRPr="00263990" w:rsidRDefault="005D7660">
            <w:pPr>
              <w:pStyle w:val="BodyText"/>
              <w:spacing w:before="60" w:after="60"/>
              <w:rPr>
                <w:b/>
                <w:bCs/>
                <w:szCs w:val="22"/>
              </w:rPr>
            </w:pPr>
            <w:r w:rsidRPr="00263990">
              <w:rPr>
                <w:b/>
                <w:bCs/>
                <w:szCs w:val="22"/>
              </w:rPr>
              <w:t>IEC members nominated</w:t>
            </w:r>
          </w:p>
        </w:tc>
        <w:tc>
          <w:tcPr>
            <w:tcW w:w="2410" w:type="dxa"/>
            <w:shd w:val="clear" w:color="auto" w:fill="002060"/>
            <w:hideMark/>
          </w:tcPr>
          <w:p w14:paraId="2C775E59" w14:textId="77777777" w:rsidR="005D7660" w:rsidRPr="00263990" w:rsidRDefault="005D7660">
            <w:pPr>
              <w:pStyle w:val="BodyText"/>
              <w:spacing w:before="60" w:after="60"/>
              <w:rPr>
                <w:b/>
                <w:bCs/>
                <w:szCs w:val="22"/>
              </w:rPr>
            </w:pPr>
            <w:r w:rsidRPr="00263990">
              <w:rPr>
                <w:b/>
                <w:bCs/>
                <w:szCs w:val="22"/>
              </w:rPr>
              <w:t>Appointment period</w:t>
            </w:r>
          </w:p>
        </w:tc>
      </w:tr>
      <w:tr w:rsidR="005D7660" w:rsidRPr="00263990" w14:paraId="2BE4EEB9" w14:textId="77777777" w:rsidTr="00EF516E">
        <w:tc>
          <w:tcPr>
            <w:tcW w:w="1975" w:type="dxa"/>
            <w:tcMar>
              <w:top w:w="0" w:type="dxa"/>
              <w:left w:w="108" w:type="dxa"/>
              <w:bottom w:w="0" w:type="dxa"/>
              <w:right w:w="108" w:type="dxa"/>
            </w:tcMar>
            <w:hideMark/>
          </w:tcPr>
          <w:p w14:paraId="0231CF08" w14:textId="77777777" w:rsidR="005D7660" w:rsidRPr="00FC6BC3" w:rsidRDefault="005D7660">
            <w:pPr>
              <w:pStyle w:val="BodyText"/>
              <w:spacing w:before="60" w:after="60"/>
              <w:rPr>
                <w:szCs w:val="22"/>
              </w:rPr>
            </w:pPr>
            <w:r w:rsidRPr="00FC6BC3">
              <w:rPr>
                <w:szCs w:val="22"/>
              </w:rPr>
              <w:t>Chair</w:t>
            </w:r>
          </w:p>
        </w:tc>
        <w:tc>
          <w:tcPr>
            <w:tcW w:w="4536" w:type="dxa"/>
            <w:tcMar>
              <w:top w:w="0" w:type="dxa"/>
              <w:left w:w="108" w:type="dxa"/>
              <w:bottom w:w="0" w:type="dxa"/>
              <w:right w:w="108" w:type="dxa"/>
            </w:tcMar>
            <w:hideMark/>
          </w:tcPr>
          <w:p w14:paraId="4BE01DBA" w14:textId="77777777" w:rsidR="005D7660" w:rsidRPr="00FC6BC3" w:rsidRDefault="005D7660">
            <w:pPr>
              <w:pStyle w:val="BodyText"/>
              <w:spacing w:before="60" w:after="60"/>
              <w:rPr>
                <w:szCs w:val="22"/>
              </w:rPr>
            </w:pPr>
            <w:r w:rsidRPr="00FC6BC3">
              <w:rPr>
                <w:szCs w:val="22"/>
              </w:rPr>
              <w:t>Mr John Pittard – AEMO director</w:t>
            </w:r>
          </w:p>
        </w:tc>
        <w:tc>
          <w:tcPr>
            <w:tcW w:w="2410" w:type="dxa"/>
            <w:hideMark/>
          </w:tcPr>
          <w:p w14:paraId="6FE14EC6" w14:textId="77777777" w:rsidR="002F342D" w:rsidRPr="00FC6BC3" w:rsidRDefault="002F342D">
            <w:pPr>
              <w:pStyle w:val="BodyText"/>
              <w:spacing w:before="60" w:after="60"/>
              <w:rPr>
                <w:szCs w:val="22"/>
              </w:rPr>
            </w:pPr>
            <w:r w:rsidRPr="00FC6BC3">
              <w:rPr>
                <w:szCs w:val="22"/>
              </w:rPr>
              <w:t>12 months</w:t>
            </w:r>
          </w:p>
          <w:p w14:paraId="3197E97B" w14:textId="3C2CFC0F" w:rsidR="005D7660" w:rsidRPr="00FC6BC3" w:rsidRDefault="005D7660">
            <w:pPr>
              <w:pStyle w:val="BodyText"/>
              <w:spacing w:before="60" w:after="60"/>
              <w:rPr>
                <w:szCs w:val="22"/>
              </w:rPr>
            </w:pPr>
            <w:r w:rsidRPr="00FC6BC3">
              <w:rPr>
                <w:szCs w:val="22"/>
              </w:rPr>
              <w:t xml:space="preserve"> </w:t>
            </w:r>
            <w:r w:rsidR="001A7772">
              <w:rPr>
                <w:szCs w:val="22"/>
              </w:rPr>
              <w:t>1 Mar</w:t>
            </w:r>
            <w:r w:rsidRPr="00FC6BC3">
              <w:rPr>
                <w:szCs w:val="22"/>
              </w:rPr>
              <w:t xml:space="preserve"> 18</w:t>
            </w:r>
            <w:r w:rsidR="002F342D" w:rsidRPr="00FC6BC3">
              <w:rPr>
                <w:szCs w:val="22"/>
              </w:rPr>
              <w:t xml:space="preserve"> – </w:t>
            </w:r>
            <w:r w:rsidR="001A7772">
              <w:rPr>
                <w:szCs w:val="22"/>
              </w:rPr>
              <w:t>1 Mar</w:t>
            </w:r>
            <w:r w:rsidR="002F342D" w:rsidRPr="00FC6BC3">
              <w:rPr>
                <w:szCs w:val="22"/>
              </w:rPr>
              <w:t xml:space="preserve"> 19</w:t>
            </w:r>
          </w:p>
        </w:tc>
      </w:tr>
      <w:tr w:rsidR="005D7660" w:rsidRPr="00263990" w14:paraId="030491EA" w14:textId="77777777" w:rsidTr="00EF516E">
        <w:tc>
          <w:tcPr>
            <w:tcW w:w="1975" w:type="dxa"/>
            <w:tcMar>
              <w:top w:w="0" w:type="dxa"/>
              <w:left w:w="108" w:type="dxa"/>
              <w:bottom w:w="0" w:type="dxa"/>
              <w:right w:w="108" w:type="dxa"/>
            </w:tcMar>
            <w:hideMark/>
          </w:tcPr>
          <w:p w14:paraId="08A6FD49" w14:textId="77777777" w:rsidR="005D7660" w:rsidRPr="00263990" w:rsidRDefault="005D7660">
            <w:pPr>
              <w:pStyle w:val="BodyText"/>
              <w:spacing w:before="60" w:after="60"/>
              <w:rPr>
                <w:szCs w:val="22"/>
              </w:rPr>
            </w:pPr>
            <w:r w:rsidRPr="00263990">
              <w:rPr>
                <w:szCs w:val="22"/>
              </w:rPr>
              <w:t xml:space="preserve">Distributor </w:t>
            </w:r>
          </w:p>
        </w:tc>
        <w:tc>
          <w:tcPr>
            <w:tcW w:w="4536" w:type="dxa"/>
            <w:tcMar>
              <w:top w:w="0" w:type="dxa"/>
              <w:left w:w="108" w:type="dxa"/>
              <w:bottom w:w="0" w:type="dxa"/>
              <w:right w:w="108" w:type="dxa"/>
            </w:tcMar>
            <w:hideMark/>
          </w:tcPr>
          <w:p w14:paraId="094F9757" w14:textId="77777777" w:rsidR="005D7660" w:rsidRPr="00263990" w:rsidRDefault="005D7660" w:rsidP="0068411C">
            <w:pPr>
              <w:pStyle w:val="BodyText"/>
              <w:spacing w:before="60" w:after="60"/>
              <w:rPr>
                <w:szCs w:val="22"/>
              </w:rPr>
            </w:pPr>
            <w:r w:rsidRPr="00263990">
              <w:rPr>
                <w:szCs w:val="22"/>
              </w:rPr>
              <w:t xml:space="preserve">Mr Peter Price (Executive General Manager – Asset </w:t>
            </w:r>
            <w:r w:rsidR="0068411C">
              <w:rPr>
                <w:szCs w:val="22"/>
              </w:rPr>
              <w:t>Safety and Performance</w:t>
            </w:r>
            <w:r w:rsidRPr="00263990">
              <w:rPr>
                <w:szCs w:val="22"/>
              </w:rPr>
              <w:t>, Energ</w:t>
            </w:r>
            <w:r w:rsidR="0068411C">
              <w:rPr>
                <w:szCs w:val="22"/>
              </w:rPr>
              <w:t>y Queensland</w:t>
            </w:r>
            <w:r w:rsidRPr="00263990">
              <w:rPr>
                <w:szCs w:val="22"/>
              </w:rPr>
              <w:t>)</w:t>
            </w:r>
          </w:p>
        </w:tc>
        <w:tc>
          <w:tcPr>
            <w:tcW w:w="2410" w:type="dxa"/>
            <w:hideMark/>
          </w:tcPr>
          <w:p w14:paraId="4D6D9276" w14:textId="77777777" w:rsidR="009F5A6C" w:rsidRPr="00263990" w:rsidRDefault="009F5A6C" w:rsidP="009F5A6C">
            <w:pPr>
              <w:pStyle w:val="BodyText"/>
              <w:spacing w:before="60" w:after="60"/>
              <w:rPr>
                <w:szCs w:val="22"/>
              </w:rPr>
            </w:pPr>
            <w:r w:rsidRPr="00263990">
              <w:rPr>
                <w:szCs w:val="22"/>
              </w:rPr>
              <w:t>2 years</w:t>
            </w:r>
          </w:p>
          <w:p w14:paraId="7F9898FF" w14:textId="77777777" w:rsidR="009F5A6C" w:rsidRDefault="009F5A6C" w:rsidP="009F5A6C">
            <w:pPr>
              <w:pStyle w:val="BodyText"/>
              <w:spacing w:before="60" w:after="60"/>
              <w:rPr>
                <w:szCs w:val="22"/>
              </w:rPr>
            </w:pPr>
            <w:r w:rsidRPr="00263990">
              <w:rPr>
                <w:szCs w:val="22"/>
              </w:rPr>
              <w:t>1 Sept 16 – 31 Aug 18</w:t>
            </w:r>
          </w:p>
          <w:p w14:paraId="1C327091" w14:textId="77777777" w:rsidR="005D7660" w:rsidRPr="00263990" w:rsidRDefault="005D7660">
            <w:pPr>
              <w:pStyle w:val="BodyText"/>
              <w:spacing w:before="60" w:after="60"/>
              <w:rPr>
                <w:szCs w:val="22"/>
              </w:rPr>
            </w:pPr>
            <w:r w:rsidRPr="00263990">
              <w:rPr>
                <w:szCs w:val="22"/>
              </w:rPr>
              <w:t>2 years</w:t>
            </w:r>
            <w:r w:rsidR="009F5A6C">
              <w:rPr>
                <w:szCs w:val="22"/>
              </w:rPr>
              <w:t xml:space="preserve"> (renominated and elected unopposed)</w:t>
            </w:r>
          </w:p>
          <w:p w14:paraId="56151CF4" w14:textId="77777777" w:rsidR="005D7660" w:rsidRPr="00263990" w:rsidRDefault="005D7660">
            <w:pPr>
              <w:pStyle w:val="BodyText"/>
              <w:spacing w:before="60" w:after="60"/>
              <w:rPr>
                <w:szCs w:val="22"/>
              </w:rPr>
            </w:pPr>
            <w:r w:rsidRPr="00263990">
              <w:rPr>
                <w:szCs w:val="22"/>
              </w:rPr>
              <w:t>1 Sept 1</w:t>
            </w:r>
            <w:r w:rsidR="009F5A6C">
              <w:rPr>
                <w:szCs w:val="22"/>
              </w:rPr>
              <w:t>8 – 31 Aug 20</w:t>
            </w:r>
          </w:p>
        </w:tc>
      </w:tr>
      <w:tr w:rsidR="005D7660" w:rsidRPr="00263990" w14:paraId="794876A2" w14:textId="77777777" w:rsidTr="00EF516E">
        <w:tc>
          <w:tcPr>
            <w:tcW w:w="1975" w:type="dxa"/>
            <w:tcMar>
              <w:top w:w="0" w:type="dxa"/>
              <w:left w:w="108" w:type="dxa"/>
              <w:bottom w:w="0" w:type="dxa"/>
              <w:right w:w="108" w:type="dxa"/>
            </w:tcMar>
            <w:hideMark/>
          </w:tcPr>
          <w:p w14:paraId="615E663E" w14:textId="77777777" w:rsidR="005D7660" w:rsidRPr="00263990" w:rsidRDefault="005D7660">
            <w:pPr>
              <w:pStyle w:val="BodyText"/>
              <w:spacing w:before="60" w:after="60"/>
              <w:rPr>
                <w:szCs w:val="22"/>
              </w:rPr>
            </w:pPr>
            <w:r w:rsidRPr="00263990">
              <w:rPr>
                <w:szCs w:val="22"/>
              </w:rPr>
              <w:t>Retailer</w:t>
            </w:r>
          </w:p>
        </w:tc>
        <w:tc>
          <w:tcPr>
            <w:tcW w:w="4536" w:type="dxa"/>
            <w:tcMar>
              <w:top w:w="0" w:type="dxa"/>
              <w:left w:w="108" w:type="dxa"/>
              <w:bottom w:w="0" w:type="dxa"/>
              <w:right w:w="108" w:type="dxa"/>
            </w:tcMar>
            <w:hideMark/>
          </w:tcPr>
          <w:p w14:paraId="7D85471E" w14:textId="77777777" w:rsidR="005D7660" w:rsidRPr="00263990" w:rsidRDefault="005D7660">
            <w:pPr>
              <w:pStyle w:val="BodyText"/>
              <w:spacing w:before="60" w:after="60"/>
              <w:rPr>
                <w:szCs w:val="22"/>
              </w:rPr>
            </w:pPr>
            <w:r w:rsidRPr="00263990">
              <w:rPr>
                <w:szCs w:val="22"/>
              </w:rPr>
              <w:t>Mr David Markham (Australia Energy Council)</w:t>
            </w:r>
          </w:p>
        </w:tc>
        <w:tc>
          <w:tcPr>
            <w:tcW w:w="2410" w:type="dxa"/>
            <w:hideMark/>
          </w:tcPr>
          <w:p w14:paraId="7D063EA2" w14:textId="77777777" w:rsidR="009F5A6C" w:rsidRPr="00263990" w:rsidRDefault="009F5A6C" w:rsidP="009F5A6C">
            <w:pPr>
              <w:pStyle w:val="BodyText"/>
              <w:spacing w:before="60" w:after="60"/>
              <w:rPr>
                <w:szCs w:val="22"/>
              </w:rPr>
            </w:pPr>
            <w:r w:rsidRPr="00263990">
              <w:rPr>
                <w:szCs w:val="22"/>
              </w:rPr>
              <w:t>2 years</w:t>
            </w:r>
          </w:p>
          <w:p w14:paraId="739DCD0D" w14:textId="77777777" w:rsidR="009F5A6C" w:rsidRDefault="009F5A6C" w:rsidP="009F5A6C">
            <w:pPr>
              <w:pStyle w:val="BodyText"/>
              <w:spacing w:before="60" w:after="60"/>
              <w:rPr>
                <w:szCs w:val="22"/>
              </w:rPr>
            </w:pPr>
            <w:r w:rsidRPr="00263990">
              <w:rPr>
                <w:szCs w:val="22"/>
              </w:rPr>
              <w:t>1 Sept 16 – 31 Aug 18</w:t>
            </w:r>
          </w:p>
          <w:p w14:paraId="07D063D6" w14:textId="77777777" w:rsidR="009F5A6C" w:rsidRPr="00263990" w:rsidRDefault="009F5A6C" w:rsidP="009F5A6C">
            <w:pPr>
              <w:pStyle w:val="BodyText"/>
              <w:spacing w:before="60" w:after="60"/>
              <w:rPr>
                <w:szCs w:val="22"/>
              </w:rPr>
            </w:pPr>
            <w:r w:rsidRPr="00263990">
              <w:rPr>
                <w:szCs w:val="22"/>
              </w:rPr>
              <w:t>2 years</w:t>
            </w:r>
            <w:r>
              <w:rPr>
                <w:szCs w:val="22"/>
              </w:rPr>
              <w:t xml:space="preserve"> (renominated and elected unopposed)</w:t>
            </w:r>
          </w:p>
          <w:p w14:paraId="6092C2CF" w14:textId="77777777" w:rsidR="005D7660" w:rsidRPr="00263990" w:rsidRDefault="009F5A6C" w:rsidP="009F5A6C">
            <w:pPr>
              <w:pStyle w:val="BodyText"/>
              <w:spacing w:before="60" w:after="60"/>
              <w:rPr>
                <w:szCs w:val="22"/>
              </w:rPr>
            </w:pPr>
            <w:r w:rsidRPr="00263990">
              <w:rPr>
                <w:szCs w:val="22"/>
              </w:rPr>
              <w:t>1 Sept 1</w:t>
            </w:r>
            <w:r>
              <w:rPr>
                <w:szCs w:val="22"/>
              </w:rPr>
              <w:t>8 – 31 Aug 20</w:t>
            </w:r>
          </w:p>
        </w:tc>
      </w:tr>
      <w:tr w:rsidR="005D7660" w:rsidRPr="00263990" w14:paraId="7CE1B166" w14:textId="77777777" w:rsidTr="00EF516E">
        <w:tc>
          <w:tcPr>
            <w:tcW w:w="1975" w:type="dxa"/>
            <w:tcMar>
              <w:top w:w="0" w:type="dxa"/>
              <w:left w:w="108" w:type="dxa"/>
              <w:bottom w:w="0" w:type="dxa"/>
              <w:right w:w="108" w:type="dxa"/>
            </w:tcMar>
            <w:hideMark/>
          </w:tcPr>
          <w:p w14:paraId="6BFC1338" w14:textId="77777777" w:rsidR="005D7660" w:rsidRPr="00263990" w:rsidRDefault="005D7660">
            <w:pPr>
              <w:pStyle w:val="BodyText"/>
              <w:spacing w:before="60" w:after="60"/>
              <w:rPr>
                <w:szCs w:val="22"/>
              </w:rPr>
            </w:pPr>
            <w:r w:rsidRPr="00263990">
              <w:rPr>
                <w:szCs w:val="22"/>
              </w:rPr>
              <w:t>Metering</w:t>
            </w:r>
          </w:p>
        </w:tc>
        <w:tc>
          <w:tcPr>
            <w:tcW w:w="4536" w:type="dxa"/>
            <w:tcMar>
              <w:top w:w="0" w:type="dxa"/>
              <w:left w:w="108" w:type="dxa"/>
              <w:bottom w:w="0" w:type="dxa"/>
              <w:right w:w="108" w:type="dxa"/>
            </w:tcMar>
            <w:hideMark/>
          </w:tcPr>
          <w:p w14:paraId="407A3A9D" w14:textId="77777777" w:rsidR="005D7660" w:rsidRPr="00263990" w:rsidRDefault="005D7660">
            <w:pPr>
              <w:pStyle w:val="BodyText"/>
              <w:spacing w:before="60" w:after="60"/>
              <w:rPr>
                <w:szCs w:val="22"/>
              </w:rPr>
            </w:pPr>
            <w:r w:rsidRPr="00263990">
              <w:rPr>
                <w:szCs w:val="22"/>
              </w:rPr>
              <w:t>Mr Dean Van Gerrevink (Australian Operations Manager, Vector)</w:t>
            </w:r>
          </w:p>
        </w:tc>
        <w:tc>
          <w:tcPr>
            <w:tcW w:w="2410" w:type="dxa"/>
            <w:hideMark/>
          </w:tcPr>
          <w:p w14:paraId="2C2768D6" w14:textId="77777777" w:rsidR="005D7660" w:rsidRPr="00263990" w:rsidRDefault="005D7660">
            <w:pPr>
              <w:pStyle w:val="BodyText"/>
              <w:spacing w:before="60" w:after="60"/>
              <w:rPr>
                <w:szCs w:val="22"/>
              </w:rPr>
            </w:pPr>
            <w:r w:rsidRPr="00263990">
              <w:rPr>
                <w:szCs w:val="22"/>
              </w:rPr>
              <w:t>2 years</w:t>
            </w:r>
          </w:p>
          <w:p w14:paraId="7EED9E5F" w14:textId="77777777" w:rsidR="005D7660" w:rsidRPr="00263990" w:rsidRDefault="005D7660">
            <w:pPr>
              <w:pStyle w:val="BodyText"/>
              <w:spacing w:before="60" w:after="60"/>
              <w:rPr>
                <w:szCs w:val="22"/>
              </w:rPr>
            </w:pPr>
            <w:r w:rsidRPr="00263990">
              <w:rPr>
                <w:szCs w:val="22"/>
              </w:rPr>
              <w:t>1 Sept 16 – 31 Aug 18</w:t>
            </w:r>
            <w:r w:rsidR="009F5A6C">
              <w:rPr>
                <w:szCs w:val="22"/>
              </w:rPr>
              <w:t xml:space="preserve"> (did not renominate)</w:t>
            </w:r>
          </w:p>
        </w:tc>
      </w:tr>
      <w:tr w:rsidR="009526CE" w:rsidRPr="00263990" w14:paraId="239EC78D" w14:textId="77777777" w:rsidTr="00EF516E">
        <w:tc>
          <w:tcPr>
            <w:tcW w:w="1975" w:type="dxa"/>
            <w:tcMar>
              <w:top w:w="0" w:type="dxa"/>
              <w:left w:w="108" w:type="dxa"/>
              <w:bottom w:w="0" w:type="dxa"/>
              <w:right w:w="108" w:type="dxa"/>
            </w:tcMar>
          </w:tcPr>
          <w:p w14:paraId="795F7EE0" w14:textId="77777777" w:rsidR="009526CE" w:rsidRPr="00263990" w:rsidRDefault="009526CE" w:rsidP="009526CE">
            <w:pPr>
              <w:pStyle w:val="BodyText"/>
              <w:spacing w:before="60" w:after="60"/>
              <w:rPr>
                <w:szCs w:val="22"/>
              </w:rPr>
            </w:pPr>
            <w:r w:rsidRPr="00263990">
              <w:rPr>
                <w:szCs w:val="22"/>
              </w:rPr>
              <w:t>Metering</w:t>
            </w:r>
          </w:p>
        </w:tc>
        <w:tc>
          <w:tcPr>
            <w:tcW w:w="4536" w:type="dxa"/>
            <w:tcMar>
              <w:top w:w="0" w:type="dxa"/>
              <w:left w:w="108" w:type="dxa"/>
              <w:bottom w:w="0" w:type="dxa"/>
              <w:right w:w="108" w:type="dxa"/>
            </w:tcMar>
          </w:tcPr>
          <w:p w14:paraId="5F935C12" w14:textId="77777777" w:rsidR="009526CE" w:rsidRPr="00263990" w:rsidRDefault="009526CE" w:rsidP="009526CE">
            <w:pPr>
              <w:pStyle w:val="BodyText"/>
              <w:spacing w:before="60" w:after="60"/>
              <w:rPr>
                <w:szCs w:val="22"/>
              </w:rPr>
            </w:pPr>
            <w:r w:rsidRPr="00263990">
              <w:rPr>
                <w:szCs w:val="22"/>
              </w:rPr>
              <w:t xml:space="preserve">Mr </w:t>
            </w:r>
            <w:r>
              <w:rPr>
                <w:szCs w:val="22"/>
              </w:rPr>
              <w:t>Robert Lo Giudice</w:t>
            </w:r>
            <w:r w:rsidRPr="00263990">
              <w:rPr>
                <w:szCs w:val="22"/>
              </w:rPr>
              <w:t xml:space="preserve"> (</w:t>
            </w:r>
            <w:r>
              <w:rPr>
                <w:szCs w:val="22"/>
              </w:rPr>
              <w:t>Manager, Metering Coordinator and Operations, intelliHUB Group</w:t>
            </w:r>
            <w:r w:rsidRPr="00263990">
              <w:rPr>
                <w:szCs w:val="22"/>
              </w:rPr>
              <w:t>)</w:t>
            </w:r>
          </w:p>
        </w:tc>
        <w:tc>
          <w:tcPr>
            <w:tcW w:w="2410" w:type="dxa"/>
          </w:tcPr>
          <w:p w14:paraId="334012C1" w14:textId="77777777" w:rsidR="009526CE" w:rsidRPr="00263990" w:rsidRDefault="009526CE" w:rsidP="009526CE">
            <w:pPr>
              <w:pStyle w:val="BodyText"/>
              <w:spacing w:before="60" w:after="60"/>
              <w:rPr>
                <w:szCs w:val="22"/>
              </w:rPr>
            </w:pPr>
            <w:r w:rsidRPr="00263990">
              <w:rPr>
                <w:szCs w:val="22"/>
              </w:rPr>
              <w:t>2 years</w:t>
            </w:r>
            <w:r>
              <w:rPr>
                <w:szCs w:val="22"/>
              </w:rPr>
              <w:t xml:space="preserve"> (nominated and elected unopposed)</w:t>
            </w:r>
          </w:p>
          <w:p w14:paraId="3C1C4563" w14:textId="77777777" w:rsidR="009526CE" w:rsidRPr="00263990" w:rsidRDefault="009526CE" w:rsidP="009526CE">
            <w:pPr>
              <w:pStyle w:val="BodyText"/>
              <w:spacing w:before="60" w:after="60"/>
              <w:rPr>
                <w:szCs w:val="22"/>
              </w:rPr>
            </w:pPr>
            <w:r w:rsidRPr="00263990">
              <w:rPr>
                <w:szCs w:val="22"/>
              </w:rPr>
              <w:t>1 Sept 1</w:t>
            </w:r>
            <w:r>
              <w:rPr>
                <w:szCs w:val="22"/>
              </w:rPr>
              <w:t>8 – 31 Aug 20</w:t>
            </w:r>
          </w:p>
        </w:tc>
      </w:tr>
      <w:tr w:rsidR="009526CE" w:rsidRPr="00263990" w14:paraId="3AE3414C" w14:textId="77777777" w:rsidTr="00EF516E">
        <w:tc>
          <w:tcPr>
            <w:tcW w:w="1975" w:type="dxa"/>
            <w:tcMar>
              <w:top w:w="0" w:type="dxa"/>
              <w:left w:w="108" w:type="dxa"/>
              <w:bottom w:w="0" w:type="dxa"/>
              <w:right w:w="108" w:type="dxa"/>
            </w:tcMar>
          </w:tcPr>
          <w:p w14:paraId="1D5A24DF" w14:textId="77777777" w:rsidR="009526CE" w:rsidRPr="00263990" w:rsidRDefault="009526CE" w:rsidP="009526CE">
            <w:pPr>
              <w:pStyle w:val="BodyText"/>
              <w:spacing w:before="60" w:after="60"/>
              <w:rPr>
                <w:szCs w:val="22"/>
              </w:rPr>
            </w:pPr>
            <w:r>
              <w:rPr>
                <w:szCs w:val="22"/>
              </w:rPr>
              <w:t>Third Party</w:t>
            </w:r>
          </w:p>
        </w:tc>
        <w:tc>
          <w:tcPr>
            <w:tcW w:w="4536" w:type="dxa"/>
            <w:tcMar>
              <w:top w:w="0" w:type="dxa"/>
              <w:left w:w="108" w:type="dxa"/>
              <w:bottom w:w="0" w:type="dxa"/>
              <w:right w:w="108" w:type="dxa"/>
            </w:tcMar>
          </w:tcPr>
          <w:p w14:paraId="26453EC7" w14:textId="77777777" w:rsidR="009526CE" w:rsidRDefault="009526CE" w:rsidP="009526CE">
            <w:pPr>
              <w:pStyle w:val="BodyText"/>
              <w:spacing w:before="60" w:after="60"/>
              <w:rPr>
                <w:szCs w:val="22"/>
              </w:rPr>
            </w:pPr>
            <w:r>
              <w:rPr>
                <w:szCs w:val="22"/>
              </w:rPr>
              <w:t>Currently Vacant</w:t>
            </w:r>
          </w:p>
          <w:p w14:paraId="498621DF" w14:textId="77777777" w:rsidR="00C14C6F" w:rsidRPr="00263990" w:rsidRDefault="00C14C6F" w:rsidP="009526CE">
            <w:pPr>
              <w:pStyle w:val="BodyText"/>
              <w:spacing w:before="60" w:after="60"/>
              <w:rPr>
                <w:szCs w:val="22"/>
              </w:rPr>
            </w:pPr>
          </w:p>
        </w:tc>
        <w:tc>
          <w:tcPr>
            <w:tcW w:w="2410" w:type="dxa"/>
          </w:tcPr>
          <w:p w14:paraId="39CE5016" w14:textId="77777777" w:rsidR="009526CE" w:rsidRPr="00263990" w:rsidRDefault="009526CE" w:rsidP="009526CE">
            <w:pPr>
              <w:pStyle w:val="BodyText"/>
              <w:spacing w:before="60" w:after="60"/>
              <w:rPr>
                <w:szCs w:val="22"/>
              </w:rPr>
            </w:pPr>
            <w:r>
              <w:rPr>
                <w:szCs w:val="22"/>
              </w:rPr>
              <w:t>No nominations received</w:t>
            </w:r>
          </w:p>
        </w:tc>
      </w:tr>
      <w:tr w:rsidR="009526CE" w:rsidRPr="00263990" w14:paraId="300EAC1D" w14:textId="77777777" w:rsidTr="00EF516E">
        <w:tc>
          <w:tcPr>
            <w:tcW w:w="1975" w:type="dxa"/>
            <w:tcMar>
              <w:top w:w="0" w:type="dxa"/>
              <w:left w:w="108" w:type="dxa"/>
              <w:bottom w:w="0" w:type="dxa"/>
              <w:right w:w="108" w:type="dxa"/>
            </w:tcMar>
            <w:hideMark/>
          </w:tcPr>
          <w:p w14:paraId="3B4CCA44" w14:textId="77777777" w:rsidR="009526CE" w:rsidRPr="00263990" w:rsidRDefault="009526CE" w:rsidP="009526CE">
            <w:pPr>
              <w:pStyle w:val="BodyText"/>
              <w:spacing w:before="60" w:after="60"/>
              <w:rPr>
                <w:szCs w:val="22"/>
              </w:rPr>
            </w:pPr>
            <w:r w:rsidRPr="00263990">
              <w:rPr>
                <w:szCs w:val="22"/>
              </w:rPr>
              <w:t>Energy Consumer</w:t>
            </w:r>
          </w:p>
        </w:tc>
        <w:tc>
          <w:tcPr>
            <w:tcW w:w="4536" w:type="dxa"/>
            <w:tcMar>
              <w:top w:w="0" w:type="dxa"/>
              <w:left w:w="108" w:type="dxa"/>
              <w:bottom w:w="0" w:type="dxa"/>
              <w:right w:w="108" w:type="dxa"/>
            </w:tcMar>
            <w:hideMark/>
          </w:tcPr>
          <w:p w14:paraId="0BF85B63" w14:textId="77777777" w:rsidR="009526CE" w:rsidRPr="00263990" w:rsidRDefault="009526CE" w:rsidP="009526CE">
            <w:pPr>
              <w:pStyle w:val="BodyText"/>
              <w:spacing w:before="60" w:after="60"/>
              <w:rPr>
                <w:szCs w:val="22"/>
              </w:rPr>
            </w:pPr>
            <w:r w:rsidRPr="00263990">
              <w:rPr>
                <w:szCs w:val="22"/>
              </w:rPr>
              <w:t>Mr David Havyatt (Senior Economist – Energy Consumers Australia</w:t>
            </w:r>
            <w:r>
              <w:rPr>
                <w:szCs w:val="22"/>
              </w:rPr>
              <w:t xml:space="preserve"> (ECA)</w:t>
            </w:r>
            <w:r w:rsidRPr="00263990">
              <w:rPr>
                <w:szCs w:val="22"/>
              </w:rPr>
              <w:t>)</w:t>
            </w:r>
          </w:p>
        </w:tc>
        <w:tc>
          <w:tcPr>
            <w:tcW w:w="2410" w:type="dxa"/>
            <w:hideMark/>
          </w:tcPr>
          <w:p w14:paraId="51D69FC8" w14:textId="77777777" w:rsidR="009526CE" w:rsidRPr="00263990" w:rsidRDefault="009526CE" w:rsidP="009526CE">
            <w:pPr>
              <w:pStyle w:val="BodyText"/>
              <w:spacing w:before="60" w:after="60"/>
              <w:rPr>
                <w:szCs w:val="22"/>
              </w:rPr>
            </w:pPr>
            <w:r w:rsidRPr="00263990">
              <w:rPr>
                <w:szCs w:val="22"/>
              </w:rPr>
              <w:t>2 years</w:t>
            </w:r>
          </w:p>
          <w:p w14:paraId="31BCAC0D" w14:textId="77777777" w:rsidR="009526CE" w:rsidRDefault="009526CE" w:rsidP="009526CE">
            <w:pPr>
              <w:pStyle w:val="BodyText"/>
              <w:spacing w:before="60" w:after="60"/>
              <w:rPr>
                <w:szCs w:val="22"/>
              </w:rPr>
            </w:pPr>
            <w:r w:rsidRPr="00263990">
              <w:rPr>
                <w:szCs w:val="22"/>
              </w:rPr>
              <w:t>1 Sept 16 – 31 Aug 18</w:t>
            </w:r>
          </w:p>
          <w:p w14:paraId="2E2133E2" w14:textId="77777777" w:rsidR="009526CE" w:rsidRPr="00263990" w:rsidRDefault="009526CE" w:rsidP="009526CE">
            <w:pPr>
              <w:pStyle w:val="BodyText"/>
              <w:spacing w:before="60" w:after="60"/>
              <w:rPr>
                <w:szCs w:val="22"/>
              </w:rPr>
            </w:pPr>
            <w:r w:rsidRPr="00263990">
              <w:rPr>
                <w:szCs w:val="22"/>
              </w:rPr>
              <w:t>2 years</w:t>
            </w:r>
            <w:r>
              <w:rPr>
                <w:szCs w:val="22"/>
              </w:rPr>
              <w:t xml:space="preserve"> (renominated by ECA)</w:t>
            </w:r>
          </w:p>
          <w:p w14:paraId="4AD031AE" w14:textId="77777777" w:rsidR="009526CE" w:rsidRPr="00263990" w:rsidRDefault="009526CE" w:rsidP="009526CE">
            <w:pPr>
              <w:pStyle w:val="BodyText"/>
              <w:spacing w:before="60" w:after="60"/>
              <w:rPr>
                <w:szCs w:val="22"/>
              </w:rPr>
            </w:pPr>
            <w:r w:rsidRPr="00263990">
              <w:rPr>
                <w:szCs w:val="22"/>
              </w:rPr>
              <w:t>1 Sept 1</w:t>
            </w:r>
            <w:r>
              <w:rPr>
                <w:szCs w:val="22"/>
              </w:rPr>
              <w:t>8 – 31 Aug 20</w:t>
            </w:r>
          </w:p>
        </w:tc>
      </w:tr>
      <w:tr w:rsidR="009526CE" w:rsidRPr="00263990" w14:paraId="53292271" w14:textId="77777777" w:rsidTr="00FC6BC3">
        <w:tc>
          <w:tcPr>
            <w:tcW w:w="1975" w:type="dxa"/>
            <w:shd w:val="clear" w:color="auto" w:fill="FFFFFF" w:themeFill="background1"/>
            <w:tcMar>
              <w:top w:w="0" w:type="dxa"/>
              <w:left w:w="108" w:type="dxa"/>
              <w:bottom w:w="0" w:type="dxa"/>
              <w:right w:w="108" w:type="dxa"/>
            </w:tcMar>
            <w:hideMark/>
          </w:tcPr>
          <w:p w14:paraId="3DEDAE73" w14:textId="77777777" w:rsidR="009526CE" w:rsidRPr="00FC6BC3" w:rsidRDefault="009526CE" w:rsidP="009526CE">
            <w:pPr>
              <w:pStyle w:val="BodyText"/>
              <w:spacing w:before="60" w:after="60"/>
              <w:rPr>
                <w:szCs w:val="22"/>
              </w:rPr>
            </w:pPr>
            <w:r w:rsidRPr="00FC6BC3">
              <w:rPr>
                <w:szCs w:val="22"/>
              </w:rPr>
              <w:t>Discretionary (retail)</w:t>
            </w:r>
          </w:p>
        </w:tc>
        <w:tc>
          <w:tcPr>
            <w:tcW w:w="4536" w:type="dxa"/>
            <w:shd w:val="clear" w:color="auto" w:fill="FFFFFF" w:themeFill="background1"/>
            <w:tcMar>
              <w:top w:w="0" w:type="dxa"/>
              <w:left w:w="108" w:type="dxa"/>
              <w:bottom w:w="0" w:type="dxa"/>
              <w:right w:w="108" w:type="dxa"/>
            </w:tcMar>
            <w:hideMark/>
          </w:tcPr>
          <w:p w14:paraId="624A4A6A" w14:textId="77777777" w:rsidR="009526CE" w:rsidRPr="00FC6BC3" w:rsidRDefault="009526CE" w:rsidP="009526CE">
            <w:pPr>
              <w:pStyle w:val="BodyText"/>
              <w:spacing w:before="60" w:after="60"/>
              <w:rPr>
                <w:szCs w:val="22"/>
              </w:rPr>
            </w:pPr>
            <w:r w:rsidRPr="00FC6BC3">
              <w:rPr>
                <w:szCs w:val="22"/>
              </w:rPr>
              <w:t>Mr Peter Van Loon (CIO, Powershop)</w:t>
            </w:r>
          </w:p>
        </w:tc>
        <w:tc>
          <w:tcPr>
            <w:tcW w:w="2410" w:type="dxa"/>
            <w:shd w:val="clear" w:color="auto" w:fill="FFFFFF" w:themeFill="background1"/>
            <w:hideMark/>
          </w:tcPr>
          <w:p w14:paraId="5715C023" w14:textId="6A009C9B" w:rsidR="009526CE" w:rsidRPr="00FC6BC3" w:rsidRDefault="0070524B" w:rsidP="009526CE">
            <w:pPr>
              <w:pStyle w:val="BodyText"/>
              <w:spacing w:before="60" w:after="60"/>
              <w:rPr>
                <w:szCs w:val="22"/>
              </w:rPr>
            </w:pPr>
            <w:r w:rsidRPr="00FC6BC3">
              <w:rPr>
                <w:szCs w:val="22"/>
              </w:rPr>
              <w:t>12 months</w:t>
            </w:r>
          </w:p>
          <w:p w14:paraId="7878F3AD" w14:textId="77777777" w:rsidR="009526CE" w:rsidRPr="00FC6BC3" w:rsidRDefault="00FC6BC3" w:rsidP="009526CE">
            <w:pPr>
              <w:pStyle w:val="BodyText"/>
              <w:spacing w:before="60" w:after="60"/>
              <w:rPr>
                <w:szCs w:val="22"/>
              </w:rPr>
            </w:pPr>
            <w:r w:rsidRPr="00FC6BC3">
              <w:rPr>
                <w:szCs w:val="22"/>
              </w:rPr>
              <w:t>1 Mar 18 – 1 Mar 19</w:t>
            </w:r>
          </w:p>
        </w:tc>
      </w:tr>
      <w:tr w:rsidR="009526CE" w:rsidRPr="00263990" w14:paraId="313E19CF" w14:textId="77777777" w:rsidTr="00FC6BC3">
        <w:tc>
          <w:tcPr>
            <w:tcW w:w="1975" w:type="dxa"/>
            <w:shd w:val="clear" w:color="auto" w:fill="FFFFFF" w:themeFill="background1"/>
            <w:tcMar>
              <w:top w:w="0" w:type="dxa"/>
              <w:left w:w="108" w:type="dxa"/>
              <w:bottom w:w="0" w:type="dxa"/>
              <w:right w:w="108" w:type="dxa"/>
            </w:tcMar>
            <w:hideMark/>
          </w:tcPr>
          <w:p w14:paraId="6C1B26C9" w14:textId="77777777" w:rsidR="009526CE" w:rsidRPr="00FC6BC3" w:rsidRDefault="009526CE" w:rsidP="009526CE">
            <w:pPr>
              <w:pStyle w:val="BodyText"/>
              <w:spacing w:before="60" w:after="60"/>
              <w:rPr>
                <w:szCs w:val="22"/>
              </w:rPr>
            </w:pPr>
            <w:r w:rsidRPr="00FC6BC3">
              <w:rPr>
                <w:szCs w:val="22"/>
              </w:rPr>
              <w:t>Discretionary (metering)</w:t>
            </w:r>
          </w:p>
        </w:tc>
        <w:tc>
          <w:tcPr>
            <w:tcW w:w="4536" w:type="dxa"/>
            <w:shd w:val="clear" w:color="auto" w:fill="FFFFFF" w:themeFill="background1"/>
            <w:tcMar>
              <w:top w:w="0" w:type="dxa"/>
              <w:left w:w="108" w:type="dxa"/>
              <w:bottom w:w="0" w:type="dxa"/>
              <w:right w:w="108" w:type="dxa"/>
            </w:tcMar>
            <w:hideMark/>
          </w:tcPr>
          <w:p w14:paraId="68ABCFC6" w14:textId="77777777" w:rsidR="009526CE" w:rsidRPr="00FC6BC3" w:rsidRDefault="009526CE" w:rsidP="009526CE">
            <w:pPr>
              <w:pStyle w:val="BodyText"/>
              <w:spacing w:before="60" w:after="60"/>
              <w:rPr>
                <w:szCs w:val="22"/>
              </w:rPr>
            </w:pPr>
            <w:r w:rsidRPr="00FC6BC3">
              <w:rPr>
                <w:szCs w:val="22"/>
              </w:rPr>
              <w:t>Mr Marco Bogaers (CEO Metropolis)</w:t>
            </w:r>
          </w:p>
        </w:tc>
        <w:tc>
          <w:tcPr>
            <w:tcW w:w="2410" w:type="dxa"/>
            <w:shd w:val="clear" w:color="auto" w:fill="FFFFFF" w:themeFill="background1"/>
            <w:hideMark/>
          </w:tcPr>
          <w:p w14:paraId="224EC85B" w14:textId="3484D5BA" w:rsidR="00FC6BC3" w:rsidRPr="00FC6BC3" w:rsidRDefault="0070524B" w:rsidP="00FC6BC3">
            <w:pPr>
              <w:pStyle w:val="BodyText"/>
              <w:spacing w:before="60" w:after="60"/>
              <w:rPr>
                <w:szCs w:val="22"/>
              </w:rPr>
            </w:pPr>
            <w:r w:rsidRPr="00FC6BC3">
              <w:rPr>
                <w:szCs w:val="22"/>
              </w:rPr>
              <w:t>12 months</w:t>
            </w:r>
          </w:p>
          <w:p w14:paraId="43691457" w14:textId="77777777" w:rsidR="009526CE" w:rsidRPr="00FC6BC3" w:rsidRDefault="00FC6BC3" w:rsidP="00FC6BC3">
            <w:pPr>
              <w:pStyle w:val="BodyText"/>
              <w:spacing w:before="60" w:after="60"/>
              <w:rPr>
                <w:szCs w:val="22"/>
              </w:rPr>
            </w:pPr>
            <w:r w:rsidRPr="00FC6BC3">
              <w:rPr>
                <w:szCs w:val="22"/>
              </w:rPr>
              <w:t>1 Mar 18 – 1 Mar 19</w:t>
            </w:r>
          </w:p>
        </w:tc>
      </w:tr>
      <w:tr w:rsidR="009526CE" w:rsidRPr="00263990" w14:paraId="61A6A092" w14:textId="77777777" w:rsidTr="00FC6BC3">
        <w:tc>
          <w:tcPr>
            <w:tcW w:w="1975" w:type="dxa"/>
            <w:shd w:val="clear" w:color="auto" w:fill="FFFFFF" w:themeFill="background1"/>
            <w:tcMar>
              <w:top w:w="0" w:type="dxa"/>
              <w:left w:w="108" w:type="dxa"/>
              <w:bottom w:w="0" w:type="dxa"/>
              <w:right w:w="108" w:type="dxa"/>
            </w:tcMar>
            <w:hideMark/>
          </w:tcPr>
          <w:p w14:paraId="3670E9A0" w14:textId="77777777" w:rsidR="009526CE" w:rsidRPr="00FC6BC3" w:rsidRDefault="009526CE" w:rsidP="009526CE">
            <w:pPr>
              <w:pStyle w:val="BodyText"/>
              <w:spacing w:before="60" w:after="60"/>
              <w:rPr>
                <w:szCs w:val="22"/>
              </w:rPr>
            </w:pPr>
            <w:r w:rsidRPr="00FC6BC3">
              <w:rPr>
                <w:szCs w:val="22"/>
              </w:rPr>
              <w:t>Discretionary (distributor)</w:t>
            </w:r>
          </w:p>
        </w:tc>
        <w:tc>
          <w:tcPr>
            <w:tcW w:w="4536" w:type="dxa"/>
            <w:shd w:val="clear" w:color="auto" w:fill="FFFFFF" w:themeFill="background1"/>
            <w:tcMar>
              <w:top w:w="0" w:type="dxa"/>
              <w:left w:w="108" w:type="dxa"/>
              <w:bottom w:w="0" w:type="dxa"/>
              <w:right w:w="108" w:type="dxa"/>
            </w:tcMar>
            <w:hideMark/>
          </w:tcPr>
          <w:p w14:paraId="24BF6748" w14:textId="77777777" w:rsidR="009526CE" w:rsidRPr="00FC6BC3" w:rsidRDefault="00FC6BC3" w:rsidP="009526CE">
            <w:pPr>
              <w:pStyle w:val="BodyText"/>
              <w:spacing w:before="60" w:after="60"/>
              <w:rPr>
                <w:szCs w:val="22"/>
              </w:rPr>
            </w:pPr>
            <w:r w:rsidRPr="00FC6BC3">
              <w:rPr>
                <w:szCs w:val="22"/>
              </w:rPr>
              <w:t>Mr Adrian Hill (GM Regulated Energy Services, Ausnet Services)</w:t>
            </w:r>
          </w:p>
        </w:tc>
        <w:tc>
          <w:tcPr>
            <w:tcW w:w="2410" w:type="dxa"/>
            <w:shd w:val="clear" w:color="auto" w:fill="FFFFFF" w:themeFill="background1"/>
            <w:hideMark/>
          </w:tcPr>
          <w:p w14:paraId="5DEA0BEC" w14:textId="67081E3B" w:rsidR="00FC6BC3" w:rsidRPr="00FC6BC3" w:rsidRDefault="0070524B" w:rsidP="00FC6BC3">
            <w:pPr>
              <w:pStyle w:val="BodyText"/>
              <w:spacing w:before="60" w:after="60"/>
              <w:rPr>
                <w:szCs w:val="22"/>
              </w:rPr>
            </w:pPr>
            <w:r w:rsidRPr="00FC6BC3">
              <w:rPr>
                <w:szCs w:val="22"/>
              </w:rPr>
              <w:t>12 months</w:t>
            </w:r>
          </w:p>
          <w:p w14:paraId="76D8439C" w14:textId="77777777" w:rsidR="009526CE" w:rsidRPr="00FC6BC3" w:rsidRDefault="00FC6BC3" w:rsidP="00FC6BC3">
            <w:pPr>
              <w:pStyle w:val="BodyText"/>
              <w:spacing w:before="60" w:after="60"/>
              <w:rPr>
                <w:szCs w:val="22"/>
              </w:rPr>
            </w:pPr>
            <w:r w:rsidRPr="00FC6BC3">
              <w:rPr>
                <w:szCs w:val="22"/>
              </w:rPr>
              <w:t>1 Mar 18 – 1 Mar 19</w:t>
            </w:r>
          </w:p>
        </w:tc>
      </w:tr>
    </w:tbl>
    <w:p w14:paraId="506AE644" w14:textId="77777777" w:rsidR="008952E9" w:rsidRDefault="008952E9" w:rsidP="00971D89">
      <w:pPr>
        <w:rPr>
          <w:b/>
        </w:rPr>
      </w:pPr>
    </w:p>
    <w:p w14:paraId="3010A7C1" w14:textId="77777777" w:rsidR="00D22E48" w:rsidRDefault="00D22E48" w:rsidP="005D7660">
      <w:pPr>
        <w:sectPr w:rsidR="00D22E48" w:rsidSect="00762FA9">
          <w:headerReference w:type="default" r:id="rId16"/>
          <w:footerReference w:type="default" r:id="rId17"/>
          <w:footerReference w:type="first" r:id="rId18"/>
          <w:pgSz w:w="11906" w:h="16838"/>
          <w:pgMar w:top="1440" w:right="1440" w:bottom="1440" w:left="1440" w:header="708" w:footer="708" w:gutter="0"/>
          <w:cols w:space="708"/>
          <w:titlePg/>
          <w:docGrid w:linePitch="360"/>
        </w:sectPr>
      </w:pPr>
    </w:p>
    <w:p w14:paraId="0A0063EB" w14:textId="77777777" w:rsidR="00870777" w:rsidRDefault="00870777" w:rsidP="00D14E65">
      <w:pPr>
        <w:tabs>
          <w:tab w:val="left" w:pos="1970"/>
        </w:tabs>
        <w:rPr>
          <w:sz w:val="36"/>
        </w:rPr>
      </w:pPr>
      <w:r w:rsidRPr="0060794C">
        <w:rPr>
          <w:sz w:val="36"/>
        </w:rPr>
        <w:lastRenderedPageBreak/>
        <w:t xml:space="preserve">Appendix </w:t>
      </w:r>
      <w:r w:rsidR="004F7E2C" w:rsidRPr="0060794C">
        <w:rPr>
          <w:sz w:val="36"/>
        </w:rPr>
        <w:t>D</w:t>
      </w:r>
      <w:r w:rsidRPr="0060794C">
        <w:rPr>
          <w:sz w:val="36"/>
        </w:rPr>
        <w:t xml:space="preserve"> – IEC Members 201</w:t>
      </w:r>
      <w:r w:rsidR="00081420">
        <w:rPr>
          <w:sz w:val="36"/>
        </w:rPr>
        <w:t>8</w:t>
      </w:r>
      <w:r w:rsidRPr="0060794C">
        <w:rPr>
          <w:sz w:val="36"/>
        </w:rPr>
        <w:t xml:space="preserve"> Meeting Attendance</w:t>
      </w:r>
    </w:p>
    <w:tbl>
      <w:tblPr>
        <w:tblStyle w:val="TableGrid"/>
        <w:tblW w:w="14594" w:type="dxa"/>
        <w:tblLayout w:type="fixed"/>
        <w:tblLook w:val="04A0" w:firstRow="1" w:lastRow="0" w:firstColumn="1" w:lastColumn="0" w:noHBand="0" w:noVBand="1"/>
      </w:tblPr>
      <w:tblGrid>
        <w:gridCol w:w="1555"/>
        <w:gridCol w:w="1842"/>
        <w:gridCol w:w="1467"/>
        <w:gridCol w:w="1622"/>
        <w:gridCol w:w="1621"/>
        <w:gridCol w:w="1622"/>
        <w:gridCol w:w="1621"/>
        <w:gridCol w:w="1622"/>
        <w:gridCol w:w="1622"/>
      </w:tblGrid>
      <w:tr w:rsidR="00081420" w:rsidRPr="005957A2" w14:paraId="2B9575F1" w14:textId="77777777" w:rsidTr="001A7772">
        <w:tc>
          <w:tcPr>
            <w:tcW w:w="1555" w:type="dxa"/>
            <w:shd w:val="clear" w:color="auto" w:fill="D9D9D9" w:themeFill="background1" w:themeFillShade="D9"/>
          </w:tcPr>
          <w:p w14:paraId="4C05E8D1" w14:textId="77777777" w:rsidR="00081420" w:rsidRPr="00B72C81" w:rsidRDefault="00081420" w:rsidP="00B72C81">
            <w:pPr>
              <w:spacing w:before="120" w:after="120"/>
              <w:jc w:val="center"/>
              <w:rPr>
                <w:b/>
              </w:rPr>
            </w:pPr>
            <w:bookmarkStart w:id="2" w:name="_Hlk532801073"/>
            <w:r w:rsidRPr="00B72C81">
              <w:rPr>
                <w:b/>
              </w:rPr>
              <w:t>Member</w:t>
            </w:r>
          </w:p>
        </w:tc>
        <w:tc>
          <w:tcPr>
            <w:tcW w:w="1842" w:type="dxa"/>
            <w:shd w:val="clear" w:color="auto" w:fill="D9D9D9" w:themeFill="background1" w:themeFillShade="D9"/>
          </w:tcPr>
          <w:p w14:paraId="19C1677B" w14:textId="77777777" w:rsidR="00081420" w:rsidRPr="00B72C81" w:rsidRDefault="00081420" w:rsidP="00B72C81">
            <w:pPr>
              <w:spacing w:before="120" w:after="120"/>
              <w:jc w:val="center"/>
              <w:rPr>
                <w:b/>
              </w:rPr>
            </w:pPr>
            <w:r w:rsidRPr="00B72C81">
              <w:rPr>
                <w:b/>
              </w:rPr>
              <w:t>Company</w:t>
            </w:r>
          </w:p>
        </w:tc>
        <w:tc>
          <w:tcPr>
            <w:tcW w:w="1467" w:type="dxa"/>
            <w:shd w:val="clear" w:color="auto" w:fill="D9D9D9" w:themeFill="background1" w:themeFillShade="D9"/>
          </w:tcPr>
          <w:p w14:paraId="2BAB8D16" w14:textId="77777777" w:rsidR="00081420" w:rsidRPr="00B72C81" w:rsidRDefault="00081420" w:rsidP="00B72C81">
            <w:pPr>
              <w:spacing w:before="120" w:after="120"/>
              <w:jc w:val="center"/>
              <w:rPr>
                <w:b/>
              </w:rPr>
            </w:pPr>
            <w:r w:rsidRPr="00B72C81">
              <w:rPr>
                <w:b/>
              </w:rPr>
              <w:t>23 FEB</w:t>
            </w:r>
          </w:p>
        </w:tc>
        <w:tc>
          <w:tcPr>
            <w:tcW w:w="1622" w:type="dxa"/>
            <w:shd w:val="clear" w:color="auto" w:fill="D9D9D9" w:themeFill="background1" w:themeFillShade="D9"/>
          </w:tcPr>
          <w:p w14:paraId="6F504FB1" w14:textId="77777777" w:rsidR="00081420" w:rsidRPr="00B72C81" w:rsidRDefault="00081420" w:rsidP="00B72C81">
            <w:pPr>
              <w:spacing w:before="120" w:after="120"/>
              <w:jc w:val="center"/>
              <w:rPr>
                <w:b/>
              </w:rPr>
            </w:pPr>
            <w:r w:rsidRPr="00B72C81">
              <w:rPr>
                <w:b/>
              </w:rPr>
              <w:t>15 MARCH</w:t>
            </w:r>
          </w:p>
        </w:tc>
        <w:tc>
          <w:tcPr>
            <w:tcW w:w="1621" w:type="dxa"/>
            <w:shd w:val="clear" w:color="auto" w:fill="D9D9D9" w:themeFill="background1" w:themeFillShade="D9"/>
          </w:tcPr>
          <w:p w14:paraId="770E3D2C" w14:textId="77777777" w:rsidR="00081420" w:rsidRPr="00B72C81" w:rsidRDefault="00081420" w:rsidP="00B72C81">
            <w:pPr>
              <w:spacing w:before="120" w:after="120"/>
              <w:jc w:val="center"/>
              <w:rPr>
                <w:b/>
              </w:rPr>
            </w:pPr>
            <w:r w:rsidRPr="00B72C81">
              <w:rPr>
                <w:b/>
              </w:rPr>
              <w:t>9 MAY</w:t>
            </w:r>
          </w:p>
        </w:tc>
        <w:tc>
          <w:tcPr>
            <w:tcW w:w="1622" w:type="dxa"/>
            <w:shd w:val="clear" w:color="auto" w:fill="D9D9D9" w:themeFill="background1" w:themeFillShade="D9"/>
          </w:tcPr>
          <w:p w14:paraId="784DB532" w14:textId="77777777" w:rsidR="00081420" w:rsidRPr="00B72C81" w:rsidRDefault="00081420" w:rsidP="00B72C81">
            <w:pPr>
              <w:spacing w:before="120" w:after="120"/>
              <w:jc w:val="center"/>
              <w:rPr>
                <w:b/>
                <w:highlight w:val="yellow"/>
              </w:rPr>
            </w:pPr>
            <w:r w:rsidRPr="00B72C81">
              <w:rPr>
                <w:b/>
              </w:rPr>
              <w:t>23 MAY</w:t>
            </w:r>
          </w:p>
        </w:tc>
        <w:tc>
          <w:tcPr>
            <w:tcW w:w="1621" w:type="dxa"/>
            <w:shd w:val="clear" w:color="auto" w:fill="D9D9D9" w:themeFill="background1" w:themeFillShade="D9"/>
          </w:tcPr>
          <w:p w14:paraId="582D34E0" w14:textId="77777777" w:rsidR="00081420" w:rsidRPr="00B72C81" w:rsidRDefault="00081420" w:rsidP="00B72C81">
            <w:pPr>
              <w:spacing w:before="120" w:after="120"/>
              <w:jc w:val="center"/>
              <w:rPr>
                <w:b/>
              </w:rPr>
            </w:pPr>
            <w:r w:rsidRPr="00B72C81">
              <w:rPr>
                <w:b/>
              </w:rPr>
              <w:t>16 JULY</w:t>
            </w:r>
          </w:p>
        </w:tc>
        <w:tc>
          <w:tcPr>
            <w:tcW w:w="1622" w:type="dxa"/>
            <w:shd w:val="clear" w:color="auto" w:fill="D9D9D9" w:themeFill="background1" w:themeFillShade="D9"/>
          </w:tcPr>
          <w:p w14:paraId="59525D00" w14:textId="77777777" w:rsidR="00081420" w:rsidRPr="00B72C81" w:rsidRDefault="006C33FD" w:rsidP="00B72C81">
            <w:pPr>
              <w:spacing w:before="120" w:after="120"/>
              <w:jc w:val="center"/>
              <w:rPr>
                <w:b/>
              </w:rPr>
            </w:pPr>
            <w:r w:rsidRPr="00B72C81">
              <w:rPr>
                <w:b/>
              </w:rPr>
              <w:t>11 SEPT</w:t>
            </w:r>
          </w:p>
        </w:tc>
        <w:tc>
          <w:tcPr>
            <w:tcW w:w="1622" w:type="dxa"/>
            <w:shd w:val="clear" w:color="auto" w:fill="D9D9D9" w:themeFill="background1" w:themeFillShade="D9"/>
          </w:tcPr>
          <w:p w14:paraId="47C6AADB" w14:textId="77777777" w:rsidR="00081420" w:rsidRPr="00B72C81" w:rsidRDefault="006C33FD" w:rsidP="00B72C81">
            <w:pPr>
              <w:spacing w:before="120" w:after="120"/>
              <w:jc w:val="center"/>
              <w:rPr>
                <w:b/>
              </w:rPr>
            </w:pPr>
            <w:r w:rsidRPr="00B72C81">
              <w:rPr>
                <w:b/>
              </w:rPr>
              <w:t>30</w:t>
            </w:r>
            <w:r w:rsidR="00081420" w:rsidRPr="00B72C81">
              <w:rPr>
                <w:b/>
              </w:rPr>
              <w:t xml:space="preserve"> NOV</w:t>
            </w:r>
          </w:p>
        </w:tc>
      </w:tr>
      <w:tr w:rsidR="00B72C81" w:rsidRPr="005957A2" w14:paraId="7F203669" w14:textId="77777777" w:rsidTr="001A7772">
        <w:tc>
          <w:tcPr>
            <w:tcW w:w="1555" w:type="dxa"/>
            <w:shd w:val="clear" w:color="auto" w:fill="D9D9D9" w:themeFill="background1" w:themeFillShade="D9"/>
          </w:tcPr>
          <w:p w14:paraId="1FDA64FC" w14:textId="77777777" w:rsidR="00B72C81" w:rsidRPr="005957A2" w:rsidRDefault="00B72C81" w:rsidP="00B72C81">
            <w:pPr>
              <w:spacing w:before="120" w:after="120"/>
              <w:jc w:val="center"/>
            </w:pPr>
            <w:r w:rsidRPr="005957A2">
              <w:t>John Pittard</w:t>
            </w:r>
          </w:p>
        </w:tc>
        <w:tc>
          <w:tcPr>
            <w:tcW w:w="1842" w:type="dxa"/>
            <w:shd w:val="clear" w:color="auto" w:fill="D9D9D9" w:themeFill="background1" w:themeFillShade="D9"/>
          </w:tcPr>
          <w:p w14:paraId="1860E780" w14:textId="77777777" w:rsidR="00B72C81" w:rsidRDefault="00B72C81" w:rsidP="00B72C81">
            <w:pPr>
              <w:spacing w:before="120" w:after="120"/>
              <w:jc w:val="center"/>
            </w:pPr>
            <w:r>
              <w:t>AEMO</w:t>
            </w:r>
          </w:p>
          <w:p w14:paraId="589DC5B5" w14:textId="77777777" w:rsidR="00B72C81" w:rsidRPr="005957A2" w:rsidRDefault="00B72C81" w:rsidP="00B72C81">
            <w:pPr>
              <w:spacing w:before="120" w:after="120"/>
              <w:jc w:val="center"/>
            </w:pPr>
          </w:p>
        </w:tc>
        <w:tc>
          <w:tcPr>
            <w:tcW w:w="1467" w:type="dxa"/>
          </w:tcPr>
          <w:p w14:paraId="37B6910A" w14:textId="77777777" w:rsidR="00B72C81" w:rsidRPr="005957A2" w:rsidRDefault="00B72C81" w:rsidP="00B72C81">
            <w:pPr>
              <w:spacing w:before="120" w:after="120"/>
              <w:jc w:val="center"/>
            </w:pPr>
            <w:r>
              <w:t>Attended</w:t>
            </w:r>
          </w:p>
        </w:tc>
        <w:tc>
          <w:tcPr>
            <w:tcW w:w="1622" w:type="dxa"/>
          </w:tcPr>
          <w:p w14:paraId="71E6EFC4" w14:textId="77777777" w:rsidR="00B72C81" w:rsidRPr="005957A2" w:rsidRDefault="00B72C81" w:rsidP="00B72C81">
            <w:pPr>
              <w:spacing w:before="120" w:after="120"/>
              <w:jc w:val="center"/>
            </w:pPr>
            <w:r>
              <w:t>Attended</w:t>
            </w:r>
          </w:p>
        </w:tc>
        <w:tc>
          <w:tcPr>
            <w:tcW w:w="1621" w:type="dxa"/>
          </w:tcPr>
          <w:p w14:paraId="438928D1" w14:textId="77777777" w:rsidR="00B72C81" w:rsidRPr="00B72C81" w:rsidRDefault="00B72C81" w:rsidP="00B72C81">
            <w:pPr>
              <w:spacing w:before="120" w:after="120"/>
              <w:jc w:val="center"/>
            </w:pPr>
            <w:r w:rsidRPr="00B72C81">
              <w:t>Attended</w:t>
            </w:r>
          </w:p>
        </w:tc>
        <w:tc>
          <w:tcPr>
            <w:tcW w:w="1622" w:type="dxa"/>
          </w:tcPr>
          <w:p w14:paraId="7FEFA214" w14:textId="77777777" w:rsidR="00B72C81" w:rsidRPr="00B72C81" w:rsidRDefault="00B72C81" w:rsidP="009F5A6C">
            <w:pPr>
              <w:spacing w:before="120" w:after="120"/>
              <w:jc w:val="center"/>
            </w:pPr>
            <w:r w:rsidRPr="00B72C81">
              <w:t>Attended</w:t>
            </w:r>
          </w:p>
        </w:tc>
        <w:tc>
          <w:tcPr>
            <w:tcW w:w="1621" w:type="dxa"/>
          </w:tcPr>
          <w:p w14:paraId="2729D666" w14:textId="77777777" w:rsidR="00B72C81" w:rsidRDefault="00B72C81" w:rsidP="00B72C81">
            <w:pPr>
              <w:spacing w:before="120" w:after="120"/>
              <w:jc w:val="center"/>
            </w:pPr>
            <w:r>
              <w:t>Attended</w:t>
            </w:r>
          </w:p>
        </w:tc>
        <w:tc>
          <w:tcPr>
            <w:tcW w:w="1622" w:type="dxa"/>
          </w:tcPr>
          <w:p w14:paraId="0B12C7B9" w14:textId="77777777" w:rsidR="00B72C81" w:rsidRPr="005957A2" w:rsidRDefault="00B72C81" w:rsidP="00B72C81">
            <w:pPr>
              <w:spacing w:before="120" w:after="120"/>
              <w:jc w:val="center"/>
            </w:pPr>
            <w:r>
              <w:t>Attended</w:t>
            </w:r>
          </w:p>
        </w:tc>
        <w:tc>
          <w:tcPr>
            <w:tcW w:w="1622" w:type="dxa"/>
          </w:tcPr>
          <w:p w14:paraId="6A84AE51" w14:textId="77777777" w:rsidR="00B72C81" w:rsidRDefault="00B72C81" w:rsidP="00B72C81">
            <w:pPr>
              <w:spacing w:before="120" w:after="120"/>
              <w:jc w:val="center"/>
            </w:pPr>
            <w:r>
              <w:t>Attended</w:t>
            </w:r>
          </w:p>
        </w:tc>
      </w:tr>
      <w:tr w:rsidR="00B72C81" w:rsidRPr="005957A2" w14:paraId="54BA7AA2" w14:textId="77777777" w:rsidTr="001A7772">
        <w:tc>
          <w:tcPr>
            <w:tcW w:w="1555" w:type="dxa"/>
            <w:shd w:val="clear" w:color="auto" w:fill="D9D9D9" w:themeFill="background1" w:themeFillShade="D9"/>
          </w:tcPr>
          <w:p w14:paraId="11D443F2" w14:textId="77777777" w:rsidR="00B72C81" w:rsidRPr="005957A2" w:rsidRDefault="00B72C81" w:rsidP="00B72C81">
            <w:pPr>
              <w:spacing w:before="120" w:after="120"/>
              <w:jc w:val="center"/>
            </w:pPr>
            <w:r w:rsidRPr="005957A2">
              <w:t>Peter Price</w:t>
            </w:r>
          </w:p>
        </w:tc>
        <w:tc>
          <w:tcPr>
            <w:tcW w:w="1842" w:type="dxa"/>
            <w:shd w:val="clear" w:color="auto" w:fill="D9D9D9" w:themeFill="background1" w:themeFillShade="D9"/>
          </w:tcPr>
          <w:p w14:paraId="173F60AD" w14:textId="77777777" w:rsidR="00B72C81" w:rsidRPr="005957A2" w:rsidRDefault="00B72C81" w:rsidP="00B72C81">
            <w:pPr>
              <w:spacing w:before="120" w:after="120"/>
              <w:jc w:val="center"/>
            </w:pPr>
            <w:r w:rsidRPr="005957A2">
              <w:t>Energy</w:t>
            </w:r>
            <w:r>
              <w:t xml:space="preserve"> </w:t>
            </w:r>
            <w:r w:rsidRPr="005957A2">
              <w:t>Queensland</w:t>
            </w:r>
          </w:p>
        </w:tc>
        <w:tc>
          <w:tcPr>
            <w:tcW w:w="1467" w:type="dxa"/>
          </w:tcPr>
          <w:p w14:paraId="756C8471" w14:textId="77777777" w:rsidR="00B72C81" w:rsidRPr="005957A2" w:rsidRDefault="00B72C81" w:rsidP="00B72C81">
            <w:pPr>
              <w:spacing w:before="120" w:after="120"/>
              <w:jc w:val="center"/>
            </w:pPr>
            <w:r>
              <w:t>Attended</w:t>
            </w:r>
          </w:p>
        </w:tc>
        <w:tc>
          <w:tcPr>
            <w:tcW w:w="1622" w:type="dxa"/>
          </w:tcPr>
          <w:p w14:paraId="5F21DAB6" w14:textId="77777777" w:rsidR="00B72C81" w:rsidRPr="005957A2" w:rsidRDefault="00B72C81" w:rsidP="00B72C81">
            <w:pPr>
              <w:spacing w:before="120" w:after="120"/>
              <w:jc w:val="center"/>
            </w:pPr>
            <w:r>
              <w:t>Attended</w:t>
            </w:r>
          </w:p>
        </w:tc>
        <w:tc>
          <w:tcPr>
            <w:tcW w:w="1621" w:type="dxa"/>
          </w:tcPr>
          <w:p w14:paraId="30D0551B" w14:textId="77777777" w:rsidR="00B72C81" w:rsidRPr="00B72C81" w:rsidRDefault="00B72C81" w:rsidP="00B72C81">
            <w:pPr>
              <w:spacing w:before="120" w:after="120"/>
              <w:jc w:val="center"/>
            </w:pPr>
            <w:r w:rsidRPr="00B72C81">
              <w:t>Attended</w:t>
            </w:r>
          </w:p>
        </w:tc>
        <w:tc>
          <w:tcPr>
            <w:tcW w:w="1622" w:type="dxa"/>
          </w:tcPr>
          <w:p w14:paraId="435DB03F" w14:textId="77777777" w:rsidR="00B72C81" w:rsidRDefault="009F5A6C" w:rsidP="009F5A6C">
            <w:pPr>
              <w:spacing w:before="120" w:after="120"/>
              <w:jc w:val="center"/>
            </w:pPr>
            <w:r>
              <w:t>Apology</w:t>
            </w:r>
          </w:p>
        </w:tc>
        <w:tc>
          <w:tcPr>
            <w:tcW w:w="1621" w:type="dxa"/>
          </w:tcPr>
          <w:p w14:paraId="7C3F26A4" w14:textId="77777777" w:rsidR="00B72C81" w:rsidRDefault="00B72C81" w:rsidP="00B72C81">
            <w:pPr>
              <w:spacing w:before="120" w:after="120"/>
              <w:jc w:val="center"/>
            </w:pPr>
            <w:r>
              <w:t>Attended</w:t>
            </w:r>
          </w:p>
        </w:tc>
        <w:tc>
          <w:tcPr>
            <w:tcW w:w="1622" w:type="dxa"/>
          </w:tcPr>
          <w:p w14:paraId="1DBA65E7" w14:textId="77777777" w:rsidR="00B72C81" w:rsidRPr="005957A2" w:rsidRDefault="00B72C81" w:rsidP="00B72C81">
            <w:pPr>
              <w:spacing w:before="120" w:after="120"/>
              <w:jc w:val="center"/>
            </w:pPr>
            <w:r>
              <w:t>Attended</w:t>
            </w:r>
          </w:p>
        </w:tc>
        <w:tc>
          <w:tcPr>
            <w:tcW w:w="1622" w:type="dxa"/>
          </w:tcPr>
          <w:p w14:paraId="12E4205E" w14:textId="77777777" w:rsidR="00B72C81" w:rsidRDefault="00B72C81" w:rsidP="00B72C81">
            <w:pPr>
              <w:spacing w:before="120" w:after="120"/>
              <w:jc w:val="center"/>
            </w:pPr>
            <w:r>
              <w:t>Attended</w:t>
            </w:r>
          </w:p>
        </w:tc>
      </w:tr>
      <w:tr w:rsidR="009F5A6C" w:rsidRPr="005957A2" w14:paraId="5F18FE79" w14:textId="77777777" w:rsidTr="001A7772">
        <w:tc>
          <w:tcPr>
            <w:tcW w:w="1555" w:type="dxa"/>
            <w:shd w:val="clear" w:color="auto" w:fill="D9D9D9" w:themeFill="background1" w:themeFillShade="D9"/>
          </w:tcPr>
          <w:p w14:paraId="10FF7371" w14:textId="77777777" w:rsidR="009F5A6C" w:rsidRPr="005957A2" w:rsidRDefault="009F5A6C" w:rsidP="009F5A6C">
            <w:pPr>
              <w:spacing w:before="120" w:after="120"/>
              <w:jc w:val="center"/>
            </w:pPr>
            <w:r w:rsidRPr="005957A2">
              <w:t>David Markham</w:t>
            </w:r>
          </w:p>
        </w:tc>
        <w:tc>
          <w:tcPr>
            <w:tcW w:w="1842" w:type="dxa"/>
            <w:shd w:val="clear" w:color="auto" w:fill="D9D9D9" w:themeFill="background1" w:themeFillShade="D9"/>
          </w:tcPr>
          <w:p w14:paraId="32FC80AE" w14:textId="77777777" w:rsidR="009F5A6C" w:rsidRPr="005957A2" w:rsidRDefault="009F5A6C" w:rsidP="009F5A6C">
            <w:pPr>
              <w:spacing w:before="120" w:after="120"/>
              <w:jc w:val="center"/>
            </w:pPr>
            <w:r w:rsidRPr="005957A2">
              <w:t>Australia Energy Council</w:t>
            </w:r>
          </w:p>
        </w:tc>
        <w:tc>
          <w:tcPr>
            <w:tcW w:w="1467" w:type="dxa"/>
          </w:tcPr>
          <w:p w14:paraId="1BE169C1" w14:textId="77777777" w:rsidR="009F5A6C" w:rsidRPr="005957A2" w:rsidRDefault="009F5A6C" w:rsidP="009F5A6C">
            <w:pPr>
              <w:spacing w:before="120" w:after="120"/>
              <w:jc w:val="center"/>
            </w:pPr>
            <w:r>
              <w:t>Attended</w:t>
            </w:r>
          </w:p>
        </w:tc>
        <w:tc>
          <w:tcPr>
            <w:tcW w:w="1622" w:type="dxa"/>
          </w:tcPr>
          <w:p w14:paraId="31A2E316" w14:textId="77777777" w:rsidR="009F5A6C" w:rsidRPr="005957A2" w:rsidRDefault="009F5A6C" w:rsidP="009F5A6C">
            <w:pPr>
              <w:spacing w:before="120" w:after="120"/>
              <w:jc w:val="center"/>
            </w:pPr>
            <w:r>
              <w:t>Attended</w:t>
            </w:r>
          </w:p>
        </w:tc>
        <w:tc>
          <w:tcPr>
            <w:tcW w:w="1621" w:type="dxa"/>
          </w:tcPr>
          <w:p w14:paraId="50EE91E4" w14:textId="77777777" w:rsidR="009F5A6C" w:rsidRPr="00B72C81" w:rsidRDefault="009F5A6C" w:rsidP="009F5A6C">
            <w:pPr>
              <w:spacing w:before="120" w:after="120"/>
              <w:jc w:val="center"/>
            </w:pPr>
            <w:r w:rsidRPr="00B72C81">
              <w:t>Attended</w:t>
            </w:r>
          </w:p>
        </w:tc>
        <w:tc>
          <w:tcPr>
            <w:tcW w:w="1622" w:type="dxa"/>
          </w:tcPr>
          <w:p w14:paraId="6B5FBBEE" w14:textId="77777777" w:rsidR="009F5A6C" w:rsidRPr="00B72C81" w:rsidRDefault="009F5A6C" w:rsidP="009F5A6C">
            <w:pPr>
              <w:spacing w:before="120" w:after="120"/>
              <w:jc w:val="center"/>
            </w:pPr>
            <w:r>
              <w:t>Apology</w:t>
            </w:r>
          </w:p>
        </w:tc>
        <w:tc>
          <w:tcPr>
            <w:tcW w:w="1621" w:type="dxa"/>
          </w:tcPr>
          <w:p w14:paraId="52B98D13" w14:textId="77777777" w:rsidR="009F5A6C" w:rsidRDefault="009F5A6C" w:rsidP="009F5A6C">
            <w:pPr>
              <w:spacing w:before="120" w:after="120"/>
              <w:jc w:val="center"/>
            </w:pPr>
            <w:r>
              <w:t>Apology</w:t>
            </w:r>
          </w:p>
          <w:p w14:paraId="3365F63B" w14:textId="1ACB7D44" w:rsidR="009F5A6C" w:rsidRDefault="009F5A6C" w:rsidP="009F5A6C">
            <w:pPr>
              <w:spacing w:before="120" w:after="120"/>
              <w:jc w:val="center"/>
            </w:pPr>
            <w:r>
              <w:t>Alternate attended: Stef</w:t>
            </w:r>
            <w:r w:rsidR="00FE1123">
              <w:t>anie</w:t>
            </w:r>
            <w:r>
              <w:t xml:space="preserve"> Macri</w:t>
            </w:r>
          </w:p>
        </w:tc>
        <w:tc>
          <w:tcPr>
            <w:tcW w:w="1622" w:type="dxa"/>
          </w:tcPr>
          <w:p w14:paraId="69A41796" w14:textId="77777777" w:rsidR="009F5A6C" w:rsidRPr="005957A2" w:rsidRDefault="009F5A6C" w:rsidP="009F5A6C">
            <w:pPr>
              <w:spacing w:before="120" w:after="120"/>
              <w:jc w:val="center"/>
            </w:pPr>
            <w:r>
              <w:t>Attended</w:t>
            </w:r>
          </w:p>
        </w:tc>
        <w:tc>
          <w:tcPr>
            <w:tcW w:w="1622" w:type="dxa"/>
          </w:tcPr>
          <w:p w14:paraId="5729D3BF" w14:textId="77777777" w:rsidR="009F5A6C" w:rsidRDefault="009F5A6C" w:rsidP="009F5A6C">
            <w:pPr>
              <w:spacing w:before="120" w:after="120"/>
              <w:jc w:val="center"/>
            </w:pPr>
            <w:r>
              <w:t>Apology</w:t>
            </w:r>
          </w:p>
          <w:p w14:paraId="7AAD22B2" w14:textId="70E0B467" w:rsidR="009F5A6C" w:rsidRDefault="009F5A6C" w:rsidP="009F5A6C">
            <w:pPr>
              <w:spacing w:before="120" w:after="120"/>
              <w:jc w:val="center"/>
            </w:pPr>
            <w:r>
              <w:t xml:space="preserve">Alternate attended: </w:t>
            </w:r>
            <w:r w:rsidR="00D550A5">
              <w:t>Stefanie Macri</w:t>
            </w:r>
          </w:p>
        </w:tc>
      </w:tr>
      <w:tr w:rsidR="009F5A6C" w:rsidRPr="005957A2" w14:paraId="4B84FD1F" w14:textId="77777777" w:rsidTr="001A7772">
        <w:tc>
          <w:tcPr>
            <w:tcW w:w="1555" w:type="dxa"/>
            <w:shd w:val="clear" w:color="auto" w:fill="D9D9D9" w:themeFill="background1" w:themeFillShade="D9"/>
          </w:tcPr>
          <w:p w14:paraId="5CE752E1" w14:textId="77777777" w:rsidR="009F5A6C" w:rsidRPr="005957A2" w:rsidRDefault="009F5A6C" w:rsidP="009F5A6C">
            <w:pPr>
              <w:spacing w:before="120" w:after="120"/>
              <w:jc w:val="center"/>
            </w:pPr>
            <w:r w:rsidRPr="005957A2">
              <w:t>Dean Van Gerrevink</w:t>
            </w:r>
          </w:p>
        </w:tc>
        <w:tc>
          <w:tcPr>
            <w:tcW w:w="1842" w:type="dxa"/>
            <w:shd w:val="clear" w:color="auto" w:fill="D9D9D9" w:themeFill="background1" w:themeFillShade="D9"/>
          </w:tcPr>
          <w:p w14:paraId="3163634C" w14:textId="77777777" w:rsidR="009F5A6C" w:rsidRDefault="009F5A6C" w:rsidP="009F5A6C">
            <w:pPr>
              <w:spacing w:before="120" w:after="120"/>
              <w:jc w:val="center"/>
            </w:pPr>
            <w:r w:rsidRPr="005957A2">
              <w:t>Vector</w:t>
            </w:r>
          </w:p>
          <w:p w14:paraId="4CE5211E" w14:textId="77777777" w:rsidR="009F5A6C" w:rsidRPr="005957A2" w:rsidRDefault="009F5A6C" w:rsidP="009F5A6C">
            <w:pPr>
              <w:spacing w:before="120" w:after="120"/>
              <w:jc w:val="center"/>
            </w:pPr>
            <w:r>
              <w:t>(Member until 31 August 2018)</w:t>
            </w:r>
          </w:p>
        </w:tc>
        <w:tc>
          <w:tcPr>
            <w:tcW w:w="1467" w:type="dxa"/>
          </w:tcPr>
          <w:p w14:paraId="0D3452D2" w14:textId="77777777" w:rsidR="009F5A6C" w:rsidRPr="005957A2" w:rsidRDefault="009F5A6C" w:rsidP="009F5A6C">
            <w:pPr>
              <w:spacing w:before="120" w:after="120"/>
              <w:jc w:val="center"/>
            </w:pPr>
            <w:r>
              <w:t>Attended</w:t>
            </w:r>
          </w:p>
        </w:tc>
        <w:tc>
          <w:tcPr>
            <w:tcW w:w="1622" w:type="dxa"/>
          </w:tcPr>
          <w:p w14:paraId="2B59EA61" w14:textId="77777777" w:rsidR="009F5A6C" w:rsidRPr="005957A2" w:rsidRDefault="009F5A6C" w:rsidP="009F5A6C">
            <w:pPr>
              <w:spacing w:before="120" w:after="120"/>
              <w:jc w:val="center"/>
            </w:pPr>
            <w:r>
              <w:t>Attended</w:t>
            </w:r>
          </w:p>
        </w:tc>
        <w:tc>
          <w:tcPr>
            <w:tcW w:w="1621" w:type="dxa"/>
          </w:tcPr>
          <w:p w14:paraId="33814589" w14:textId="77777777" w:rsidR="009F5A6C" w:rsidRPr="00B72C81" w:rsidRDefault="009F5A6C" w:rsidP="009F5A6C">
            <w:pPr>
              <w:spacing w:before="120" w:after="120"/>
              <w:jc w:val="center"/>
            </w:pPr>
            <w:r w:rsidRPr="00B72C81">
              <w:t>Attended</w:t>
            </w:r>
          </w:p>
        </w:tc>
        <w:tc>
          <w:tcPr>
            <w:tcW w:w="1622" w:type="dxa"/>
          </w:tcPr>
          <w:p w14:paraId="01555863" w14:textId="77777777" w:rsidR="009F5A6C" w:rsidRPr="00B72C81" w:rsidRDefault="009F5A6C" w:rsidP="009F5A6C">
            <w:pPr>
              <w:spacing w:before="120" w:after="120"/>
              <w:jc w:val="center"/>
            </w:pPr>
            <w:r w:rsidRPr="00B72C81">
              <w:t>Attended</w:t>
            </w:r>
          </w:p>
        </w:tc>
        <w:tc>
          <w:tcPr>
            <w:tcW w:w="1621" w:type="dxa"/>
          </w:tcPr>
          <w:p w14:paraId="422C899C" w14:textId="77777777" w:rsidR="009F5A6C" w:rsidRDefault="009F5A6C" w:rsidP="009F5A6C">
            <w:pPr>
              <w:spacing w:before="120" w:after="120"/>
              <w:jc w:val="center"/>
            </w:pPr>
            <w:r>
              <w:t>Attended</w:t>
            </w:r>
          </w:p>
        </w:tc>
        <w:tc>
          <w:tcPr>
            <w:tcW w:w="1622" w:type="dxa"/>
            <w:shd w:val="clear" w:color="auto" w:fill="D9D9D9" w:themeFill="background1" w:themeFillShade="D9"/>
          </w:tcPr>
          <w:p w14:paraId="41A7EFA1" w14:textId="77777777" w:rsidR="009F5A6C" w:rsidRPr="005957A2" w:rsidRDefault="009F5A6C" w:rsidP="009F5A6C">
            <w:pPr>
              <w:spacing w:before="120" w:after="120"/>
              <w:jc w:val="center"/>
            </w:pPr>
          </w:p>
        </w:tc>
        <w:tc>
          <w:tcPr>
            <w:tcW w:w="1622" w:type="dxa"/>
            <w:shd w:val="clear" w:color="auto" w:fill="D9D9D9" w:themeFill="background1" w:themeFillShade="D9"/>
          </w:tcPr>
          <w:p w14:paraId="62A0BD24" w14:textId="77777777" w:rsidR="009F5A6C" w:rsidRDefault="009F5A6C" w:rsidP="009F5A6C">
            <w:pPr>
              <w:spacing w:before="120" w:after="120"/>
              <w:jc w:val="center"/>
            </w:pPr>
          </w:p>
        </w:tc>
      </w:tr>
      <w:tr w:rsidR="00C14C6F" w:rsidRPr="005957A2" w14:paraId="156265C7" w14:textId="77777777" w:rsidTr="001A7772">
        <w:tc>
          <w:tcPr>
            <w:tcW w:w="1555" w:type="dxa"/>
            <w:shd w:val="clear" w:color="auto" w:fill="D9D9D9" w:themeFill="background1" w:themeFillShade="D9"/>
          </w:tcPr>
          <w:p w14:paraId="47EF6F72" w14:textId="77777777" w:rsidR="00C14C6F" w:rsidRDefault="00C14C6F" w:rsidP="00C14C6F">
            <w:pPr>
              <w:spacing w:before="120" w:after="120"/>
              <w:jc w:val="center"/>
            </w:pPr>
            <w:r>
              <w:t>Robert Lo Giudice</w:t>
            </w:r>
          </w:p>
        </w:tc>
        <w:tc>
          <w:tcPr>
            <w:tcW w:w="1842" w:type="dxa"/>
            <w:shd w:val="clear" w:color="auto" w:fill="D9D9D9" w:themeFill="background1" w:themeFillShade="D9"/>
          </w:tcPr>
          <w:p w14:paraId="47933271" w14:textId="77777777" w:rsidR="00C14C6F" w:rsidRPr="005957A2" w:rsidRDefault="00C14C6F" w:rsidP="00C14C6F">
            <w:pPr>
              <w:spacing w:before="120" w:after="120"/>
              <w:jc w:val="center"/>
            </w:pPr>
            <w:r>
              <w:t>Acumen / Intellihub (Member from 1 September 2018)</w:t>
            </w:r>
          </w:p>
        </w:tc>
        <w:tc>
          <w:tcPr>
            <w:tcW w:w="1467" w:type="dxa"/>
            <w:shd w:val="clear" w:color="auto" w:fill="D9D9D9" w:themeFill="background1" w:themeFillShade="D9"/>
          </w:tcPr>
          <w:p w14:paraId="75030492" w14:textId="77777777" w:rsidR="00C14C6F" w:rsidRDefault="00C14C6F" w:rsidP="00C14C6F">
            <w:pPr>
              <w:spacing w:before="120" w:after="120"/>
              <w:jc w:val="center"/>
            </w:pPr>
          </w:p>
        </w:tc>
        <w:tc>
          <w:tcPr>
            <w:tcW w:w="1622" w:type="dxa"/>
            <w:shd w:val="clear" w:color="auto" w:fill="D9D9D9" w:themeFill="background1" w:themeFillShade="D9"/>
          </w:tcPr>
          <w:p w14:paraId="0FD347FB" w14:textId="77777777" w:rsidR="00C14C6F" w:rsidRDefault="00C14C6F" w:rsidP="00C14C6F">
            <w:pPr>
              <w:spacing w:before="120" w:after="120"/>
              <w:jc w:val="center"/>
            </w:pPr>
          </w:p>
        </w:tc>
        <w:tc>
          <w:tcPr>
            <w:tcW w:w="1621" w:type="dxa"/>
            <w:shd w:val="clear" w:color="auto" w:fill="D9D9D9" w:themeFill="background1" w:themeFillShade="D9"/>
          </w:tcPr>
          <w:p w14:paraId="377D343D" w14:textId="77777777" w:rsidR="00C14C6F" w:rsidRPr="00B72C81" w:rsidRDefault="00C14C6F" w:rsidP="00C14C6F">
            <w:pPr>
              <w:spacing w:before="120" w:after="120"/>
              <w:jc w:val="center"/>
            </w:pPr>
          </w:p>
        </w:tc>
        <w:tc>
          <w:tcPr>
            <w:tcW w:w="1622" w:type="dxa"/>
            <w:shd w:val="clear" w:color="auto" w:fill="D9D9D9" w:themeFill="background1" w:themeFillShade="D9"/>
          </w:tcPr>
          <w:p w14:paraId="5949C9A5" w14:textId="77777777" w:rsidR="00C14C6F" w:rsidRDefault="00C14C6F" w:rsidP="00C14C6F">
            <w:pPr>
              <w:spacing w:before="120" w:after="120"/>
              <w:jc w:val="center"/>
            </w:pPr>
          </w:p>
        </w:tc>
        <w:tc>
          <w:tcPr>
            <w:tcW w:w="1621" w:type="dxa"/>
            <w:shd w:val="clear" w:color="auto" w:fill="D9D9D9" w:themeFill="background1" w:themeFillShade="D9"/>
          </w:tcPr>
          <w:p w14:paraId="7EC9B5B3" w14:textId="77777777" w:rsidR="00C14C6F" w:rsidRDefault="00C14C6F" w:rsidP="00C14C6F">
            <w:pPr>
              <w:spacing w:before="120" w:after="120"/>
              <w:jc w:val="center"/>
            </w:pPr>
          </w:p>
        </w:tc>
        <w:tc>
          <w:tcPr>
            <w:tcW w:w="1622" w:type="dxa"/>
          </w:tcPr>
          <w:p w14:paraId="1B4C9069" w14:textId="77777777" w:rsidR="00C14C6F" w:rsidRDefault="00C14C6F" w:rsidP="00C14C6F">
            <w:pPr>
              <w:spacing w:before="120" w:after="120"/>
              <w:jc w:val="center"/>
            </w:pPr>
            <w:r>
              <w:t>Attended</w:t>
            </w:r>
          </w:p>
        </w:tc>
        <w:tc>
          <w:tcPr>
            <w:tcW w:w="1622" w:type="dxa"/>
          </w:tcPr>
          <w:p w14:paraId="634CD3B3" w14:textId="77777777" w:rsidR="00C14C6F" w:rsidRDefault="00C14C6F" w:rsidP="00C14C6F">
            <w:pPr>
              <w:spacing w:before="120" w:after="120"/>
              <w:jc w:val="center"/>
            </w:pPr>
            <w:r>
              <w:t>Attended</w:t>
            </w:r>
          </w:p>
        </w:tc>
      </w:tr>
      <w:tr w:rsidR="00C14C6F" w:rsidRPr="005957A2" w14:paraId="0E53835D" w14:textId="77777777" w:rsidTr="001A7772">
        <w:tc>
          <w:tcPr>
            <w:tcW w:w="1555" w:type="dxa"/>
            <w:shd w:val="clear" w:color="auto" w:fill="D9D9D9" w:themeFill="background1" w:themeFillShade="D9"/>
          </w:tcPr>
          <w:p w14:paraId="7AE73E68" w14:textId="77777777" w:rsidR="00C14C6F" w:rsidRPr="005957A2" w:rsidRDefault="00C14C6F" w:rsidP="00C14C6F">
            <w:pPr>
              <w:spacing w:before="120" w:after="120"/>
              <w:jc w:val="center"/>
            </w:pPr>
            <w:r>
              <w:t>David Havy</w:t>
            </w:r>
            <w:r w:rsidRPr="005957A2">
              <w:t>att</w:t>
            </w:r>
          </w:p>
        </w:tc>
        <w:tc>
          <w:tcPr>
            <w:tcW w:w="1842" w:type="dxa"/>
            <w:shd w:val="clear" w:color="auto" w:fill="D9D9D9" w:themeFill="background1" w:themeFillShade="D9"/>
          </w:tcPr>
          <w:p w14:paraId="1452280D" w14:textId="77777777" w:rsidR="00C14C6F" w:rsidRPr="005957A2" w:rsidRDefault="00C14C6F" w:rsidP="00C14C6F">
            <w:pPr>
              <w:spacing w:before="120" w:after="120"/>
              <w:jc w:val="center"/>
            </w:pPr>
            <w:r w:rsidRPr="005957A2">
              <w:t>Energy Consumers Australia</w:t>
            </w:r>
          </w:p>
        </w:tc>
        <w:tc>
          <w:tcPr>
            <w:tcW w:w="1467" w:type="dxa"/>
          </w:tcPr>
          <w:p w14:paraId="2ED72F66" w14:textId="77777777" w:rsidR="00C14C6F" w:rsidRPr="005957A2" w:rsidRDefault="00C14C6F" w:rsidP="00C14C6F">
            <w:pPr>
              <w:spacing w:before="120" w:after="120"/>
              <w:jc w:val="center"/>
            </w:pPr>
            <w:r>
              <w:t>Attended</w:t>
            </w:r>
          </w:p>
        </w:tc>
        <w:tc>
          <w:tcPr>
            <w:tcW w:w="1622" w:type="dxa"/>
          </w:tcPr>
          <w:p w14:paraId="10422A22" w14:textId="77777777" w:rsidR="00C14C6F" w:rsidRPr="005957A2" w:rsidRDefault="00C14C6F" w:rsidP="00C14C6F">
            <w:pPr>
              <w:spacing w:before="120" w:after="120"/>
              <w:jc w:val="center"/>
            </w:pPr>
            <w:r>
              <w:t>Apology</w:t>
            </w:r>
          </w:p>
        </w:tc>
        <w:tc>
          <w:tcPr>
            <w:tcW w:w="1621" w:type="dxa"/>
          </w:tcPr>
          <w:p w14:paraId="5557182B" w14:textId="77777777" w:rsidR="00C14C6F" w:rsidRPr="00B72C81" w:rsidRDefault="00C14C6F" w:rsidP="00C14C6F">
            <w:pPr>
              <w:spacing w:before="120" w:after="120"/>
              <w:jc w:val="center"/>
            </w:pPr>
            <w:r w:rsidRPr="00B72C81">
              <w:t>Attended</w:t>
            </w:r>
          </w:p>
        </w:tc>
        <w:tc>
          <w:tcPr>
            <w:tcW w:w="1622" w:type="dxa"/>
          </w:tcPr>
          <w:p w14:paraId="0946FDD8" w14:textId="77777777" w:rsidR="00C14C6F" w:rsidRDefault="00C14C6F" w:rsidP="00C14C6F">
            <w:pPr>
              <w:spacing w:before="120" w:after="120"/>
              <w:jc w:val="center"/>
            </w:pPr>
            <w:r>
              <w:t>Attended</w:t>
            </w:r>
          </w:p>
        </w:tc>
        <w:tc>
          <w:tcPr>
            <w:tcW w:w="1621" w:type="dxa"/>
          </w:tcPr>
          <w:p w14:paraId="0385013E" w14:textId="77777777" w:rsidR="00C14C6F" w:rsidRDefault="00C14C6F" w:rsidP="00C14C6F">
            <w:pPr>
              <w:spacing w:before="120" w:after="120"/>
              <w:jc w:val="center"/>
            </w:pPr>
            <w:r>
              <w:t>Attended</w:t>
            </w:r>
          </w:p>
        </w:tc>
        <w:tc>
          <w:tcPr>
            <w:tcW w:w="1622" w:type="dxa"/>
          </w:tcPr>
          <w:p w14:paraId="208D5CBA" w14:textId="77777777" w:rsidR="00C14C6F" w:rsidRPr="005957A2" w:rsidRDefault="00C14C6F" w:rsidP="00C14C6F">
            <w:pPr>
              <w:spacing w:before="120" w:after="120"/>
              <w:jc w:val="center"/>
            </w:pPr>
            <w:r>
              <w:t>Attended</w:t>
            </w:r>
          </w:p>
        </w:tc>
        <w:tc>
          <w:tcPr>
            <w:tcW w:w="1622" w:type="dxa"/>
          </w:tcPr>
          <w:p w14:paraId="6A2AFDB2" w14:textId="77777777" w:rsidR="00C14C6F" w:rsidRDefault="00C14C6F" w:rsidP="00C14C6F">
            <w:pPr>
              <w:spacing w:before="120" w:after="120"/>
              <w:jc w:val="center"/>
            </w:pPr>
            <w:r>
              <w:t>Attended</w:t>
            </w:r>
          </w:p>
        </w:tc>
      </w:tr>
      <w:tr w:rsidR="00C14C6F" w:rsidRPr="005957A2" w14:paraId="1E32315A" w14:textId="77777777" w:rsidTr="001A7772">
        <w:tc>
          <w:tcPr>
            <w:tcW w:w="1555" w:type="dxa"/>
            <w:shd w:val="clear" w:color="auto" w:fill="D9D9D9" w:themeFill="background1" w:themeFillShade="D9"/>
          </w:tcPr>
          <w:p w14:paraId="34E33744" w14:textId="77777777" w:rsidR="00C14C6F" w:rsidRPr="005957A2" w:rsidRDefault="00C14C6F" w:rsidP="00C14C6F">
            <w:pPr>
              <w:spacing w:before="120" w:after="120"/>
              <w:jc w:val="center"/>
            </w:pPr>
            <w:r w:rsidRPr="005957A2">
              <w:t>Peter Van Loon</w:t>
            </w:r>
          </w:p>
        </w:tc>
        <w:tc>
          <w:tcPr>
            <w:tcW w:w="1842" w:type="dxa"/>
            <w:shd w:val="clear" w:color="auto" w:fill="D9D9D9" w:themeFill="background1" w:themeFillShade="D9"/>
          </w:tcPr>
          <w:p w14:paraId="0BCBF330" w14:textId="77777777" w:rsidR="00C14C6F" w:rsidRPr="005957A2" w:rsidRDefault="00C14C6F" w:rsidP="00C14C6F">
            <w:pPr>
              <w:spacing w:before="120" w:after="120"/>
              <w:jc w:val="center"/>
            </w:pPr>
            <w:r w:rsidRPr="005957A2">
              <w:t>Powershop</w:t>
            </w:r>
          </w:p>
        </w:tc>
        <w:tc>
          <w:tcPr>
            <w:tcW w:w="1467" w:type="dxa"/>
          </w:tcPr>
          <w:p w14:paraId="2A3D36DB" w14:textId="77777777" w:rsidR="00C14C6F" w:rsidRPr="005957A2" w:rsidRDefault="00C14C6F" w:rsidP="00C14C6F">
            <w:pPr>
              <w:spacing w:before="120" w:after="120"/>
              <w:jc w:val="center"/>
            </w:pPr>
            <w:r>
              <w:t>Attended</w:t>
            </w:r>
          </w:p>
        </w:tc>
        <w:tc>
          <w:tcPr>
            <w:tcW w:w="1622" w:type="dxa"/>
          </w:tcPr>
          <w:p w14:paraId="096E2ECD" w14:textId="77777777" w:rsidR="00C14C6F" w:rsidRPr="005957A2" w:rsidRDefault="00C14C6F" w:rsidP="00C14C6F">
            <w:pPr>
              <w:spacing w:before="120" w:after="120"/>
              <w:jc w:val="center"/>
            </w:pPr>
            <w:r>
              <w:t>Attended</w:t>
            </w:r>
          </w:p>
        </w:tc>
        <w:tc>
          <w:tcPr>
            <w:tcW w:w="1621" w:type="dxa"/>
          </w:tcPr>
          <w:p w14:paraId="63062DA3" w14:textId="6051C6A7" w:rsidR="001A7772" w:rsidRDefault="00C14C6F" w:rsidP="00C14C6F">
            <w:pPr>
              <w:spacing w:before="120" w:after="120"/>
              <w:jc w:val="center"/>
            </w:pPr>
            <w:r w:rsidRPr="00B72C81">
              <w:t>Attended</w:t>
            </w:r>
          </w:p>
          <w:p w14:paraId="3DA27D80" w14:textId="77777777" w:rsidR="001A7772" w:rsidRPr="001A7772" w:rsidRDefault="001A7772" w:rsidP="001A7772"/>
          <w:p w14:paraId="3C3EE151" w14:textId="1DB57709" w:rsidR="001A7772" w:rsidRDefault="001A7772" w:rsidP="001A7772"/>
          <w:p w14:paraId="55A45E73" w14:textId="1DC834E0" w:rsidR="001A7772" w:rsidRDefault="001A7772" w:rsidP="001A7772"/>
          <w:p w14:paraId="24A139B6" w14:textId="77777777" w:rsidR="00C14C6F" w:rsidRPr="001A7772" w:rsidRDefault="00C14C6F" w:rsidP="001A7772">
            <w:pPr>
              <w:jc w:val="center"/>
            </w:pPr>
          </w:p>
        </w:tc>
        <w:tc>
          <w:tcPr>
            <w:tcW w:w="1622" w:type="dxa"/>
          </w:tcPr>
          <w:p w14:paraId="7F11A4C5" w14:textId="77777777" w:rsidR="00C14C6F" w:rsidRDefault="00C14C6F" w:rsidP="00C14C6F">
            <w:pPr>
              <w:spacing w:before="120" w:after="120"/>
              <w:jc w:val="center"/>
            </w:pPr>
            <w:r>
              <w:t>Apology</w:t>
            </w:r>
          </w:p>
        </w:tc>
        <w:tc>
          <w:tcPr>
            <w:tcW w:w="1621" w:type="dxa"/>
          </w:tcPr>
          <w:p w14:paraId="62EB229C" w14:textId="77777777" w:rsidR="00C14C6F" w:rsidRDefault="00C14C6F" w:rsidP="00C14C6F">
            <w:pPr>
              <w:spacing w:before="120" w:after="120"/>
              <w:jc w:val="center"/>
            </w:pPr>
            <w:r>
              <w:t>Apology</w:t>
            </w:r>
          </w:p>
          <w:p w14:paraId="719B9D0D" w14:textId="77777777" w:rsidR="00C14C6F" w:rsidRDefault="00C14C6F" w:rsidP="00C14C6F">
            <w:pPr>
              <w:spacing w:before="120" w:after="120"/>
              <w:jc w:val="center"/>
            </w:pPr>
            <w:r>
              <w:t>Alternate attended: Chris Murphy</w:t>
            </w:r>
          </w:p>
        </w:tc>
        <w:tc>
          <w:tcPr>
            <w:tcW w:w="1622" w:type="dxa"/>
          </w:tcPr>
          <w:p w14:paraId="79E4E884" w14:textId="77777777" w:rsidR="00C14C6F" w:rsidRPr="005957A2" w:rsidRDefault="00C14C6F" w:rsidP="00C14C6F">
            <w:pPr>
              <w:spacing w:before="120" w:after="120"/>
              <w:jc w:val="center"/>
            </w:pPr>
            <w:r>
              <w:t>Attended</w:t>
            </w:r>
          </w:p>
        </w:tc>
        <w:tc>
          <w:tcPr>
            <w:tcW w:w="1622" w:type="dxa"/>
          </w:tcPr>
          <w:p w14:paraId="5DB90643" w14:textId="77777777" w:rsidR="00C14C6F" w:rsidRDefault="00C14C6F" w:rsidP="00C14C6F">
            <w:pPr>
              <w:spacing w:before="120" w:after="120"/>
              <w:jc w:val="center"/>
            </w:pPr>
            <w:r>
              <w:t>Attended</w:t>
            </w:r>
          </w:p>
        </w:tc>
      </w:tr>
      <w:tr w:rsidR="00C14C6F" w:rsidRPr="005957A2" w14:paraId="52F621FB" w14:textId="77777777" w:rsidTr="001A7772">
        <w:tc>
          <w:tcPr>
            <w:tcW w:w="1555" w:type="dxa"/>
            <w:shd w:val="clear" w:color="auto" w:fill="D9D9D9" w:themeFill="background1" w:themeFillShade="D9"/>
          </w:tcPr>
          <w:p w14:paraId="069C0A96" w14:textId="77777777" w:rsidR="00C14C6F" w:rsidRPr="005957A2" w:rsidRDefault="00C14C6F" w:rsidP="00C14C6F">
            <w:pPr>
              <w:spacing w:before="120" w:after="120"/>
              <w:jc w:val="center"/>
            </w:pPr>
            <w:r>
              <w:lastRenderedPageBreak/>
              <w:t>Marco Bogaers</w:t>
            </w:r>
          </w:p>
        </w:tc>
        <w:tc>
          <w:tcPr>
            <w:tcW w:w="1842" w:type="dxa"/>
            <w:shd w:val="clear" w:color="auto" w:fill="D9D9D9" w:themeFill="background1" w:themeFillShade="D9"/>
          </w:tcPr>
          <w:p w14:paraId="2B4EDB82" w14:textId="77777777" w:rsidR="00C14C6F" w:rsidRDefault="00C14C6F" w:rsidP="00C14C6F">
            <w:pPr>
              <w:spacing w:before="120" w:after="120"/>
              <w:jc w:val="center"/>
            </w:pPr>
            <w:r>
              <w:t>Metropolis</w:t>
            </w:r>
          </w:p>
          <w:p w14:paraId="0B47DADA" w14:textId="77777777" w:rsidR="00C14C6F" w:rsidRPr="005957A2" w:rsidRDefault="00C14C6F" w:rsidP="00C14C6F">
            <w:pPr>
              <w:spacing w:before="120" w:after="120"/>
              <w:jc w:val="center"/>
            </w:pPr>
          </w:p>
        </w:tc>
        <w:tc>
          <w:tcPr>
            <w:tcW w:w="1467" w:type="dxa"/>
          </w:tcPr>
          <w:p w14:paraId="5EA3A1C1" w14:textId="77777777" w:rsidR="00C14C6F" w:rsidRDefault="00C14C6F" w:rsidP="00C14C6F">
            <w:pPr>
              <w:spacing w:before="120" w:after="120"/>
              <w:jc w:val="center"/>
            </w:pPr>
            <w:r>
              <w:t>Apology</w:t>
            </w:r>
          </w:p>
        </w:tc>
        <w:tc>
          <w:tcPr>
            <w:tcW w:w="1622" w:type="dxa"/>
          </w:tcPr>
          <w:p w14:paraId="46814AAB" w14:textId="77777777" w:rsidR="00C14C6F" w:rsidRDefault="00C14C6F" w:rsidP="00C14C6F">
            <w:pPr>
              <w:spacing w:before="120" w:after="120"/>
              <w:jc w:val="center"/>
            </w:pPr>
            <w:r>
              <w:t>Attended</w:t>
            </w:r>
          </w:p>
        </w:tc>
        <w:tc>
          <w:tcPr>
            <w:tcW w:w="1621" w:type="dxa"/>
          </w:tcPr>
          <w:p w14:paraId="691A6EFD" w14:textId="77777777" w:rsidR="00C14C6F" w:rsidRPr="00B72C81" w:rsidRDefault="00C14C6F" w:rsidP="00C14C6F">
            <w:pPr>
              <w:spacing w:before="120" w:after="120"/>
              <w:jc w:val="center"/>
            </w:pPr>
            <w:r w:rsidRPr="00B72C81">
              <w:t>Apology</w:t>
            </w:r>
          </w:p>
        </w:tc>
        <w:tc>
          <w:tcPr>
            <w:tcW w:w="1622" w:type="dxa"/>
          </w:tcPr>
          <w:p w14:paraId="3620DD31" w14:textId="77777777" w:rsidR="00C14C6F" w:rsidRDefault="00C14C6F" w:rsidP="00C14C6F">
            <w:pPr>
              <w:spacing w:before="120" w:after="120"/>
              <w:jc w:val="center"/>
            </w:pPr>
            <w:r>
              <w:t>Apology</w:t>
            </w:r>
          </w:p>
        </w:tc>
        <w:tc>
          <w:tcPr>
            <w:tcW w:w="1621" w:type="dxa"/>
          </w:tcPr>
          <w:p w14:paraId="25D26F41" w14:textId="77777777" w:rsidR="00C14C6F" w:rsidRDefault="00C14C6F" w:rsidP="00C14C6F">
            <w:pPr>
              <w:spacing w:before="120" w:after="120"/>
              <w:jc w:val="center"/>
            </w:pPr>
            <w:r>
              <w:t>Attended</w:t>
            </w:r>
          </w:p>
        </w:tc>
        <w:tc>
          <w:tcPr>
            <w:tcW w:w="1622" w:type="dxa"/>
          </w:tcPr>
          <w:p w14:paraId="1502CAE9" w14:textId="77777777" w:rsidR="00C14C6F" w:rsidRDefault="00C14C6F" w:rsidP="00C14C6F">
            <w:pPr>
              <w:spacing w:before="120" w:after="120"/>
              <w:jc w:val="center"/>
            </w:pPr>
            <w:r>
              <w:t>Attended</w:t>
            </w:r>
          </w:p>
        </w:tc>
        <w:tc>
          <w:tcPr>
            <w:tcW w:w="1622" w:type="dxa"/>
          </w:tcPr>
          <w:p w14:paraId="272F0C43" w14:textId="77777777" w:rsidR="00C14C6F" w:rsidRDefault="00C14C6F" w:rsidP="00C14C6F">
            <w:pPr>
              <w:spacing w:before="120" w:after="120"/>
              <w:jc w:val="center"/>
            </w:pPr>
            <w:r>
              <w:t>Attended</w:t>
            </w:r>
          </w:p>
        </w:tc>
      </w:tr>
      <w:tr w:rsidR="00940F8D" w:rsidRPr="005957A2" w14:paraId="50D12CC3" w14:textId="77777777" w:rsidTr="00662300">
        <w:tc>
          <w:tcPr>
            <w:tcW w:w="1555" w:type="dxa"/>
            <w:shd w:val="clear" w:color="auto" w:fill="D9D9D9" w:themeFill="background1" w:themeFillShade="D9"/>
            <w:vAlign w:val="center"/>
          </w:tcPr>
          <w:p w14:paraId="3A867D57" w14:textId="621D20FB" w:rsidR="00940F8D" w:rsidRDefault="00662300" w:rsidP="00662300">
            <w:pPr>
              <w:spacing w:before="120" w:after="120"/>
              <w:jc w:val="center"/>
            </w:pPr>
            <w:r>
              <w:t>Alan Hume</w:t>
            </w:r>
          </w:p>
        </w:tc>
        <w:tc>
          <w:tcPr>
            <w:tcW w:w="1842" w:type="dxa"/>
            <w:shd w:val="clear" w:color="auto" w:fill="D9D9D9" w:themeFill="background1" w:themeFillShade="D9"/>
          </w:tcPr>
          <w:p w14:paraId="79DC3A1F" w14:textId="77777777" w:rsidR="00940F8D" w:rsidRDefault="00940F8D" w:rsidP="00C14C6F">
            <w:pPr>
              <w:spacing w:before="120" w:after="120"/>
              <w:jc w:val="center"/>
            </w:pPr>
            <w:r>
              <w:t>Jemena</w:t>
            </w:r>
          </w:p>
          <w:p w14:paraId="548343D4" w14:textId="0AA29827" w:rsidR="002479EB" w:rsidRDefault="002479EB" w:rsidP="00C14C6F">
            <w:pPr>
              <w:spacing w:before="120" w:after="120"/>
              <w:jc w:val="center"/>
            </w:pPr>
            <w:r>
              <w:t>(Member until end Feb 2018)</w:t>
            </w:r>
          </w:p>
        </w:tc>
        <w:tc>
          <w:tcPr>
            <w:tcW w:w="1467" w:type="dxa"/>
            <w:shd w:val="clear" w:color="auto" w:fill="auto"/>
          </w:tcPr>
          <w:p w14:paraId="4ACE08F6" w14:textId="2DD0A2EA" w:rsidR="00940F8D" w:rsidRPr="00662300" w:rsidRDefault="00940F8D" w:rsidP="00C14C6F">
            <w:pPr>
              <w:spacing w:before="120" w:after="120"/>
              <w:jc w:val="center"/>
            </w:pPr>
            <w:r w:rsidRPr="00662300">
              <w:t>Apology</w:t>
            </w:r>
          </w:p>
        </w:tc>
        <w:tc>
          <w:tcPr>
            <w:tcW w:w="1622" w:type="dxa"/>
            <w:shd w:val="clear" w:color="auto" w:fill="D9D9D9" w:themeFill="background1" w:themeFillShade="D9"/>
          </w:tcPr>
          <w:p w14:paraId="5D3AA340" w14:textId="77777777" w:rsidR="00940F8D" w:rsidRPr="00662300" w:rsidRDefault="00940F8D" w:rsidP="00C14C6F">
            <w:pPr>
              <w:spacing w:before="120" w:after="120"/>
              <w:jc w:val="center"/>
            </w:pPr>
          </w:p>
        </w:tc>
        <w:tc>
          <w:tcPr>
            <w:tcW w:w="1621" w:type="dxa"/>
            <w:shd w:val="clear" w:color="auto" w:fill="D9D9D9" w:themeFill="background1" w:themeFillShade="D9"/>
          </w:tcPr>
          <w:p w14:paraId="2D95BEF2" w14:textId="77777777" w:rsidR="00940F8D" w:rsidRPr="00662300" w:rsidRDefault="00940F8D" w:rsidP="00C14C6F">
            <w:pPr>
              <w:spacing w:before="120" w:after="120"/>
              <w:jc w:val="center"/>
            </w:pPr>
          </w:p>
        </w:tc>
        <w:tc>
          <w:tcPr>
            <w:tcW w:w="1622" w:type="dxa"/>
            <w:shd w:val="clear" w:color="auto" w:fill="D9D9D9" w:themeFill="background1" w:themeFillShade="D9"/>
          </w:tcPr>
          <w:p w14:paraId="64CB0495" w14:textId="77777777" w:rsidR="00940F8D" w:rsidRPr="00662300" w:rsidRDefault="00940F8D" w:rsidP="00C14C6F">
            <w:pPr>
              <w:spacing w:before="120" w:after="120"/>
              <w:jc w:val="center"/>
            </w:pPr>
          </w:p>
        </w:tc>
        <w:tc>
          <w:tcPr>
            <w:tcW w:w="1621" w:type="dxa"/>
            <w:shd w:val="clear" w:color="auto" w:fill="D9D9D9" w:themeFill="background1" w:themeFillShade="D9"/>
          </w:tcPr>
          <w:p w14:paraId="5B7BAA95" w14:textId="77777777" w:rsidR="00940F8D" w:rsidRPr="00662300" w:rsidRDefault="00940F8D" w:rsidP="00C14C6F">
            <w:pPr>
              <w:spacing w:before="120" w:after="120"/>
              <w:jc w:val="center"/>
            </w:pPr>
          </w:p>
        </w:tc>
        <w:tc>
          <w:tcPr>
            <w:tcW w:w="1622" w:type="dxa"/>
            <w:shd w:val="clear" w:color="auto" w:fill="D9D9D9" w:themeFill="background1" w:themeFillShade="D9"/>
          </w:tcPr>
          <w:p w14:paraId="324C09E5" w14:textId="77777777" w:rsidR="00940F8D" w:rsidRPr="00662300" w:rsidRDefault="00940F8D" w:rsidP="00C14C6F">
            <w:pPr>
              <w:spacing w:before="120" w:after="120"/>
              <w:jc w:val="center"/>
            </w:pPr>
          </w:p>
        </w:tc>
        <w:tc>
          <w:tcPr>
            <w:tcW w:w="1622" w:type="dxa"/>
            <w:shd w:val="clear" w:color="auto" w:fill="D9D9D9" w:themeFill="background1" w:themeFillShade="D9"/>
          </w:tcPr>
          <w:p w14:paraId="2A246205" w14:textId="77777777" w:rsidR="00940F8D" w:rsidRPr="00662300" w:rsidRDefault="00940F8D" w:rsidP="00C14C6F">
            <w:pPr>
              <w:spacing w:before="120" w:after="120"/>
              <w:jc w:val="center"/>
            </w:pPr>
          </w:p>
        </w:tc>
      </w:tr>
      <w:tr w:rsidR="00C14C6F" w:rsidRPr="005957A2" w14:paraId="6521CA54" w14:textId="77777777" w:rsidTr="00662300">
        <w:tc>
          <w:tcPr>
            <w:tcW w:w="1555" w:type="dxa"/>
            <w:shd w:val="clear" w:color="auto" w:fill="D9D9D9" w:themeFill="background1" w:themeFillShade="D9"/>
          </w:tcPr>
          <w:p w14:paraId="47828A80" w14:textId="3D7C9939" w:rsidR="00C14C6F" w:rsidRPr="005957A2" w:rsidRDefault="00893EA2" w:rsidP="00C14C6F">
            <w:pPr>
              <w:spacing w:before="120" w:after="120"/>
              <w:jc w:val="center"/>
            </w:pPr>
            <w:r>
              <w:t xml:space="preserve">Adrian </w:t>
            </w:r>
            <w:r w:rsidR="0070524B">
              <w:t>Hill</w:t>
            </w:r>
          </w:p>
        </w:tc>
        <w:tc>
          <w:tcPr>
            <w:tcW w:w="1842" w:type="dxa"/>
            <w:shd w:val="clear" w:color="auto" w:fill="D9D9D9" w:themeFill="background1" w:themeFillShade="D9"/>
          </w:tcPr>
          <w:p w14:paraId="604FD97F" w14:textId="77777777" w:rsidR="00C14C6F" w:rsidRDefault="00893EA2" w:rsidP="00C14C6F">
            <w:pPr>
              <w:spacing w:before="120" w:after="120"/>
              <w:jc w:val="center"/>
            </w:pPr>
            <w:r>
              <w:t>AusNet Services</w:t>
            </w:r>
          </w:p>
          <w:p w14:paraId="7608350D" w14:textId="5CF3C614" w:rsidR="002479EB" w:rsidRPr="005957A2" w:rsidRDefault="002479EB" w:rsidP="00C14C6F">
            <w:pPr>
              <w:spacing w:before="120" w:after="120"/>
              <w:jc w:val="center"/>
            </w:pPr>
            <w:r>
              <w:t>(Member from 1 March 2018)</w:t>
            </w:r>
          </w:p>
        </w:tc>
        <w:tc>
          <w:tcPr>
            <w:tcW w:w="1467" w:type="dxa"/>
            <w:shd w:val="clear" w:color="auto" w:fill="D9D9D9" w:themeFill="background1" w:themeFillShade="D9"/>
          </w:tcPr>
          <w:p w14:paraId="33E82AC9" w14:textId="3806BF87" w:rsidR="00C14C6F" w:rsidRPr="00662300" w:rsidRDefault="00C14C6F" w:rsidP="00662300">
            <w:pPr>
              <w:spacing w:before="120" w:after="120"/>
            </w:pPr>
          </w:p>
        </w:tc>
        <w:tc>
          <w:tcPr>
            <w:tcW w:w="1622" w:type="dxa"/>
            <w:shd w:val="clear" w:color="auto" w:fill="auto"/>
          </w:tcPr>
          <w:p w14:paraId="6CBE2C9F" w14:textId="77777777" w:rsidR="00C14C6F" w:rsidRPr="00662300" w:rsidRDefault="00FC6BC3" w:rsidP="00C14C6F">
            <w:pPr>
              <w:spacing w:before="120" w:after="120"/>
              <w:jc w:val="center"/>
            </w:pPr>
            <w:r w:rsidRPr="00662300">
              <w:t>Attended</w:t>
            </w:r>
          </w:p>
        </w:tc>
        <w:tc>
          <w:tcPr>
            <w:tcW w:w="1621" w:type="dxa"/>
            <w:shd w:val="clear" w:color="auto" w:fill="auto"/>
          </w:tcPr>
          <w:p w14:paraId="56C2B42A" w14:textId="77777777" w:rsidR="00C14C6F" w:rsidRPr="00662300" w:rsidRDefault="00C14C6F" w:rsidP="00C14C6F">
            <w:pPr>
              <w:spacing w:before="120" w:after="120"/>
              <w:jc w:val="center"/>
            </w:pPr>
            <w:r w:rsidRPr="00662300">
              <w:t>Attended</w:t>
            </w:r>
          </w:p>
        </w:tc>
        <w:tc>
          <w:tcPr>
            <w:tcW w:w="1622" w:type="dxa"/>
          </w:tcPr>
          <w:p w14:paraId="06869863" w14:textId="77777777" w:rsidR="00C14C6F" w:rsidRPr="00662300" w:rsidRDefault="00FC6BC3" w:rsidP="00C14C6F">
            <w:pPr>
              <w:spacing w:before="120" w:after="120"/>
              <w:jc w:val="center"/>
            </w:pPr>
            <w:r w:rsidRPr="00662300">
              <w:t>Attended</w:t>
            </w:r>
          </w:p>
        </w:tc>
        <w:tc>
          <w:tcPr>
            <w:tcW w:w="1621" w:type="dxa"/>
          </w:tcPr>
          <w:p w14:paraId="7490BB5E" w14:textId="77777777" w:rsidR="00C14C6F" w:rsidRPr="00662300" w:rsidRDefault="00FC6BC3" w:rsidP="00C14C6F">
            <w:pPr>
              <w:spacing w:before="120" w:after="120"/>
              <w:jc w:val="center"/>
            </w:pPr>
            <w:r w:rsidRPr="00662300">
              <w:t>Attended</w:t>
            </w:r>
          </w:p>
        </w:tc>
        <w:tc>
          <w:tcPr>
            <w:tcW w:w="1622" w:type="dxa"/>
          </w:tcPr>
          <w:p w14:paraId="6F710832" w14:textId="65DD7310" w:rsidR="00C14C6F" w:rsidRPr="00662300" w:rsidRDefault="00940F8D" w:rsidP="00C14C6F">
            <w:pPr>
              <w:spacing w:before="120" w:after="120"/>
              <w:jc w:val="center"/>
            </w:pPr>
            <w:r w:rsidRPr="00662300">
              <w:t>Apology</w:t>
            </w:r>
          </w:p>
        </w:tc>
        <w:tc>
          <w:tcPr>
            <w:tcW w:w="1622" w:type="dxa"/>
          </w:tcPr>
          <w:p w14:paraId="5E545A87" w14:textId="77777777" w:rsidR="00C14C6F" w:rsidRPr="00662300" w:rsidRDefault="00C14C6F" w:rsidP="00C14C6F">
            <w:pPr>
              <w:spacing w:before="120" w:after="120"/>
              <w:jc w:val="center"/>
            </w:pPr>
            <w:r w:rsidRPr="00662300">
              <w:t>Attended</w:t>
            </w:r>
          </w:p>
        </w:tc>
      </w:tr>
      <w:tr w:rsidR="00C14C6F" w:rsidRPr="005957A2" w14:paraId="16B061D1" w14:textId="77777777" w:rsidTr="001A7772">
        <w:tc>
          <w:tcPr>
            <w:tcW w:w="1555" w:type="dxa"/>
            <w:shd w:val="clear" w:color="auto" w:fill="D9D9D9" w:themeFill="background1" w:themeFillShade="D9"/>
          </w:tcPr>
          <w:p w14:paraId="5C5BD7D3" w14:textId="77777777" w:rsidR="00C14C6F" w:rsidRDefault="00C14C6F" w:rsidP="00C14C6F">
            <w:pPr>
              <w:spacing w:before="120" w:after="120"/>
              <w:jc w:val="center"/>
            </w:pPr>
            <w:r>
              <w:t>Vacant</w:t>
            </w:r>
          </w:p>
        </w:tc>
        <w:tc>
          <w:tcPr>
            <w:tcW w:w="1842" w:type="dxa"/>
            <w:shd w:val="clear" w:color="auto" w:fill="D9D9D9" w:themeFill="background1" w:themeFillShade="D9"/>
          </w:tcPr>
          <w:p w14:paraId="4A73954A" w14:textId="77777777" w:rsidR="00C14C6F" w:rsidRDefault="00C14C6F" w:rsidP="00C14C6F">
            <w:pPr>
              <w:spacing w:before="120" w:after="120"/>
              <w:jc w:val="center"/>
            </w:pPr>
            <w:r>
              <w:t>Third Party Representative</w:t>
            </w:r>
          </w:p>
        </w:tc>
        <w:tc>
          <w:tcPr>
            <w:tcW w:w="1467" w:type="dxa"/>
            <w:shd w:val="clear" w:color="auto" w:fill="D9D9D9" w:themeFill="background1" w:themeFillShade="D9"/>
          </w:tcPr>
          <w:p w14:paraId="4F331757" w14:textId="77777777" w:rsidR="00C14C6F" w:rsidRPr="00662300" w:rsidRDefault="00C14C6F" w:rsidP="00C14C6F">
            <w:pPr>
              <w:spacing w:before="120" w:after="120"/>
              <w:jc w:val="center"/>
            </w:pPr>
          </w:p>
        </w:tc>
        <w:tc>
          <w:tcPr>
            <w:tcW w:w="1622" w:type="dxa"/>
            <w:shd w:val="clear" w:color="auto" w:fill="D9D9D9" w:themeFill="background1" w:themeFillShade="D9"/>
          </w:tcPr>
          <w:p w14:paraId="76134E2D" w14:textId="77777777" w:rsidR="00C14C6F" w:rsidRPr="00662300" w:rsidRDefault="00C14C6F" w:rsidP="00C14C6F">
            <w:pPr>
              <w:spacing w:before="120" w:after="120"/>
              <w:jc w:val="center"/>
            </w:pPr>
          </w:p>
        </w:tc>
        <w:tc>
          <w:tcPr>
            <w:tcW w:w="1621" w:type="dxa"/>
            <w:shd w:val="clear" w:color="auto" w:fill="D9D9D9" w:themeFill="background1" w:themeFillShade="D9"/>
          </w:tcPr>
          <w:p w14:paraId="5DAB11ED" w14:textId="77777777" w:rsidR="00C14C6F" w:rsidRPr="00662300" w:rsidRDefault="00C14C6F" w:rsidP="00C14C6F">
            <w:pPr>
              <w:spacing w:before="120" w:after="120"/>
              <w:jc w:val="center"/>
            </w:pPr>
          </w:p>
        </w:tc>
        <w:tc>
          <w:tcPr>
            <w:tcW w:w="1622" w:type="dxa"/>
            <w:shd w:val="clear" w:color="auto" w:fill="D9D9D9" w:themeFill="background1" w:themeFillShade="D9"/>
          </w:tcPr>
          <w:p w14:paraId="06DB9B6D" w14:textId="77777777" w:rsidR="00C14C6F" w:rsidRPr="00662300" w:rsidRDefault="00C14C6F" w:rsidP="00C14C6F">
            <w:pPr>
              <w:spacing w:before="120" w:after="120"/>
              <w:jc w:val="center"/>
            </w:pPr>
          </w:p>
        </w:tc>
        <w:tc>
          <w:tcPr>
            <w:tcW w:w="1621" w:type="dxa"/>
            <w:shd w:val="clear" w:color="auto" w:fill="D9D9D9" w:themeFill="background1" w:themeFillShade="D9"/>
          </w:tcPr>
          <w:p w14:paraId="31E64E69" w14:textId="77777777" w:rsidR="00C14C6F" w:rsidRPr="00662300" w:rsidRDefault="00C14C6F" w:rsidP="00C14C6F">
            <w:pPr>
              <w:spacing w:before="120" w:after="120"/>
              <w:jc w:val="center"/>
            </w:pPr>
          </w:p>
        </w:tc>
        <w:tc>
          <w:tcPr>
            <w:tcW w:w="1622" w:type="dxa"/>
            <w:shd w:val="clear" w:color="auto" w:fill="D9D9D9" w:themeFill="background1" w:themeFillShade="D9"/>
          </w:tcPr>
          <w:p w14:paraId="6B5AD341" w14:textId="77777777" w:rsidR="00C14C6F" w:rsidRPr="00662300" w:rsidRDefault="00C14C6F" w:rsidP="00C14C6F">
            <w:pPr>
              <w:spacing w:before="120" w:after="120"/>
              <w:jc w:val="center"/>
            </w:pPr>
          </w:p>
        </w:tc>
        <w:tc>
          <w:tcPr>
            <w:tcW w:w="1622" w:type="dxa"/>
            <w:shd w:val="clear" w:color="auto" w:fill="D9D9D9" w:themeFill="background1" w:themeFillShade="D9"/>
          </w:tcPr>
          <w:p w14:paraId="16675EE6" w14:textId="77777777" w:rsidR="00C14C6F" w:rsidRPr="00662300" w:rsidRDefault="00C14C6F" w:rsidP="00C14C6F">
            <w:pPr>
              <w:spacing w:before="120" w:after="120"/>
              <w:jc w:val="center"/>
            </w:pPr>
          </w:p>
        </w:tc>
      </w:tr>
      <w:bookmarkEnd w:id="2"/>
    </w:tbl>
    <w:p w14:paraId="07A5549D" w14:textId="77777777" w:rsidR="003064D7" w:rsidRDefault="003064D7" w:rsidP="005957A2">
      <w:pPr>
        <w:spacing w:after="0" w:line="240" w:lineRule="auto"/>
      </w:pPr>
    </w:p>
    <w:p w14:paraId="39C40637" w14:textId="77777777" w:rsidR="001A7772" w:rsidRPr="001A7772" w:rsidRDefault="001A7772" w:rsidP="001A7772"/>
    <w:p w14:paraId="223CE7F4" w14:textId="77777777" w:rsidR="001A7772" w:rsidRPr="001A7772" w:rsidRDefault="001A7772" w:rsidP="001A7772"/>
    <w:p w14:paraId="7E8DB681" w14:textId="77777777" w:rsidR="001A7772" w:rsidRPr="001A7772" w:rsidRDefault="001A7772" w:rsidP="001A7772"/>
    <w:p w14:paraId="09DA3BD2" w14:textId="77777777" w:rsidR="001A7772" w:rsidRPr="001A7772" w:rsidRDefault="001A7772" w:rsidP="001A7772"/>
    <w:p w14:paraId="058952A7" w14:textId="77777777" w:rsidR="001A7772" w:rsidRPr="001A7772" w:rsidRDefault="001A7772" w:rsidP="001A7772"/>
    <w:p w14:paraId="46F330B0" w14:textId="00348F9D" w:rsidR="00D06594" w:rsidRPr="001A7772" w:rsidRDefault="001A7772" w:rsidP="001A7772">
      <w:pPr>
        <w:tabs>
          <w:tab w:val="left" w:pos="4593"/>
        </w:tabs>
      </w:pPr>
      <w:r>
        <w:tab/>
      </w:r>
    </w:p>
    <w:sectPr w:rsidR="00D06594" w:rsidRPr="001A7772" w:rsidSect="00D14E65">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A0F3C" w14:textId="77777777" w:rsidR="00587AF8" w:rsidRDefault="00587AF8" w:rsidP="001E63C2">
      <w:pPr>
        <w:spacing w:after="0" w:line="240" w:lineRule="auto"/>
      </w:pPr>
      <w:r>
        <w:separator/>
      </w:r>
    </w:p>
  </w:endnote>
  <w:endnote w:type="continuationSeparator" w:id="0">
    <w:p w14:paraId="68CB4621" w14:textId="77777777" w:rsidR="00587AF8" w:rsidRDefault="00587AF8" w:rsidP="001E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3DD4" w14:textId="4762A75E" w:rsidR="008E7D7F" w:rsidRPr="00662A28" w:rsidRDefault="008E7D7F" w:rsidP="001A7772">
    <w:pPr>
      <w:pStyle w:val="Footer"/>
      <w:pBdr>
        <w:top w:val="single" w:sz="4" w:space="0" w:color="auto"/>
      </w:pBdr>
      <w:rPr>
        <w:sz w:val="20"/>
        <w:szCs w:val="20"/>
      </w:rPr>
    </w:pPr>
    <w:r w:rsidRPr="00662A28">
      <w:rPr>
        <w:sz w:val="20"/>
        <w:szCs w:val="20"/>
      </w:rPr>
      <w:fldChar w:fldCharType="begin"/>
    </w:r>
    <w:r w:rsidRPr="00662A28">
      <w:rPr>
        <w:sz w:val="20"/>
        <w:szCs w:val="20"/>
      </w:rPr>
      <w:instrText xml:space="preserve"> PAGE   \* MERGEFORMAT </w:instrText>
    </w:r>
    <w:r w:rsidRPr="00662A28">
      <w:rPr>
        <w:sz w:val="20"/>
        <w:szCs w:val="20"/>
      </w:rPr>
      <w:fldChar w:fldCharType="separate"/>
    </w:r>
    <w:r>
      <w:rPr>
        <w:noProof/>
        <w:sz w:val="20"/>
        <w:szCs w:val="20"/>
      </w:rPr>
      <w:t>8</w:t>
    </w:r>
    <w:r w:rsidRPr="00662A28">
      <w:rPr>
        <w:sz w:val="20"/>
        <w:szCs w:val="20"/>
      </w:rPr>
      <w:fldChar w:fldCharType="end"/>
    </w:r>
    <w:r w:rsidR="001A7772">
      <w:rPr>
        <w:sz w:val="20"/>
        <w:szCs w:val="20"/>
      </w:rPr>
      <w:tab/>
    </w:r>
    <w:r w:rsidR="001A7772">
      <w:rPr>
        <w:sz w:val="20"/>
        <w:szCs w:val="20"/>
      </w:rPr>
      <w:tab/>
    </w:r>
    <w:r w:rsidRPr="00643145">
      <w:rPr>
        <w:sz w:val="20"/>
        <w:szCs w:val="20"/>
      </w:rPr>
      <w:t xml:space="preserve"> </w:t>
    </w:r>
    <w:r>
      <w:rPr>
        <w:sz w:val="20"/>
        <w:szCs w:val="20"/>
      </w:rPr>
      <w:fldChar w:fldCharType="begin"/>
    </w:r>
    <w:r w:rsidRPr="00643145">
      <w:rPr>
        <w:sz w:val="20"/>
        <w:szCs w:val="20"/>
      </w:rPr>
      <w:instrText xml:space="preserve"> FILENAME   \* MERGEFORMAT </w:instrText>
    </w:r>
    <w:r>
      <w:rPr>
        <w:sz w:val="20"/>
        <w:szCs w:val="20"/>
      </w:rPr>
      <w:fldChar w:fldCharType="separate"/>
    </w:r>
    <w:r>
      <w:rPr>
        <w:noProof/>
        <w:sz w:val="20"/>
        <w:szCs w:val="20"/>
      </w:rPr>
      <w:t>2018 IEC Annual Report</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36225"/>
      <w:docPartObj>
        <w:docPartGallery w:val="Page Numbers (Bottom of Page)"/>
        <w:docPartUnique/>
      </w:docPartObj>
    </w:sdtPr>
    <w:sdtEndPr>
      <w:rPr>
        <w:noProof/>
      </w:rPr>
    </w:sdtEndPr>
    <w:sdtContent>
      <w:p w14:paraId="09B168E8" w14:textId="55DCFA41" w:rsidR="008E7D7F" w:rsidRDefault="001A7772" w:rsidP="001A7772">
        <w:pPr>
          <w:pStyle w:val="Footer"/>
        </w:pPr>
        <w:r>
          <w:rPr>
            <w:noProof/>
          </w:rPr>
          <w:tab/>
        </w:r>
        <w:r>
          <w:rPr>
            <w:noProof/>
          </w:rPr>
          <w:tab/>
        </w:r>
        <w:r>
          <w:rPr>
            <w:noProof/>
          </w:rPr>
          <w:tab/>
        </w:r>
        <w:r>
          <w:rPr>
            <w:noProof/>
          </w:rPr>
          <w:tab/>
        </w:r>
        <w:r>
          <w:rPr>
            <w:noProof/>
          </w:rPr>
          <w:tab/>
        </w:r>
        <w:r>
          <w:rPr>
            <w:noProof/>
          </w:rPr>
          <w:tab/>
        </w:r>
        <w:r>
          <w:rPr>
            <w:noProof/>
          </w:rPr>
          <w:tab/>
        </w:r>
        <w:r>
          <w:rPr>
            <w:sz w:val="20"/>
            <w:szCs w:val="20"/>
          </w:rPr>
          <w:fldChar w:fldCharType="begin"/>
        </w:r>
        <w:r w:rsidRPr="00643145">
          <w:rPr>
            <w:sz w:val="20"/>
            <w:szCs w:val="20"/>
          </w:rPr>
          <w:instrText xml:space="preserve"> FILENAME   \* MERGEFORMAT </w:instrText>
        </w:r>
        <w:r>
          <w:rPr>
            <w:sz w:val="20"/>
            <w:szCs w:val="20"/>
          </w:rPr>
          <w:fldChar w:fldCharType="separate"/>
        </w:r>
        <w:r>
          <w:rPr>
            <w:noProof/>
            <w:sz w:val="20"/>
            <w:szCs w:val="20"/>
          </w:rPr>
          <w:t>2018 IEC Annual Report</w:t>
        </w:r>
        <w:r>
          <w:rPr>
            <w:noProof/>
          </w:rPr>
          <w:fldChar w:fldCharType="end"/>
        </w:r>
        <w:r>
          <w:rPr>
            <w:noProof/>
          </w:rPr>
          <w:tab/>
        </w:r>
      </w:p>
    </w:sdtContent>
  </w:sdt>
  <w:p w14:paraId="761251F6" w14:textId="77777777" w:rsidR="008E7D7F" w:rsidRDefault="008E7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C0864" w14:textId="77777777" w:rsidR="00587AF8" w:rsidRDefault="00587AF8" w:rsidP="001E63C2">
      <w:pPr>
        <w:spacing w:after="0" w:line="240" w:lineRule="auto"/>
      </w:pPr>
      <w:r>
        <w:separator/>
      </w:r>
    </w:p>
  </w:footnote>
  <w:footnote w:type="continuationSeparator" w:id="0">
    <w:p w14:paraId="2626EF0F" w14:textId="77777777" w:rsidR="00587AF8" w:rsidRDefault="00587AF8" w:rsidP="001E6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436A" w14:textId="3F945EE5" w:rsidR="008E7D7F" w:rsidRDefault="008E7D7F" w:rsidP="006F3B54">
    <w:pPr>
      <w:pStyle w:val="Header"/>
      <w:pBdr>
        <w:bottom w:val="single" w:sz="4" w:space="1" w:color="auto"/>
      </w:pBdr>
      <w:rPr>
        <w:sz w:val="20"/>
        <w:szCs w:val="20"/>
      </w:rPr>
    </w:pPr>
    <w:r w:rsidRPr="00662A28">
      <w:rPr>
        <w:sz w:val="20"/>
        <w:szCs w:val="20"/>
      </w:rPr>
      <w:tab/>
    </w:r>
    <w:r w:rsidRPr="00662A28">
      <w:rPr>
        <w:sz w:val="20"/>
        <w:szCs w:val="20"/>
      </w:rPr>
      <w:tab/>
    </w:r>
  </w:p>
  <w:p w14:paraId="5456FFF1" w14:textId="77777777" w:rsidR="008E7D7F" w:rsidRDefault="008E7D7F" w:rsidP="006F3B54">
    <w:pPr>
      <w:pStyle w:val="Header"/>
      <w:pBdr>
        <w:bottom w:val="single" w:sz="4" w:space="1" w:color="auto"/>
      </w:pBdr>
      <w:rPr>
        <w:sz w:val="20"/>
        <w:szCs w:val="20"/>
      </w:rPr>
    </w:pPr>
    <w:r w:rsidRPr="00DE57D2">
      <w:rPr>
        <w:noProof/>
        <w:sz w:val="20"/>
        <w:szCs w:val="20"/>
      </w:rPr>
      <w:drawing>
        <wp:inline distT="0" distB="0" distL="0" distR="0" wp14:anchorId="674D4612" wp14:editId="1A861F18">
          <wp:extent cx="1243330" cy="5499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3330" cy="549910"/>
                  </a:xfrm>
                  <a:prstGeom prst="rect">
                    <a:avLst/>
                  </a:prstGeom>
                  <a:noFill/>
                  <a:ln w="9525">
                    <a:noFill/>
                    <a:miter lim="800000"/>
                    <a:headEnd/>
                    <a:tailEnd/>
                  </a:ln>
                </pic:spPr>
              </pic:pic>
            </a:graphicData>
          </a:graphic>
        </wp:inline>
      </w:drawing>
    </w:r>
  </w:p>
  <w:p w14:paraId="28A59080" w14:textId="77777777" w:rsidR="008E7D7F" w:rsidRPr="00662A28" w:rsidRDefault="008E7D7F" w:rsidP="006F3B54">
    <w:pPr>
      <w:pStyle w:val="Header"/>
      <w:pBdr>
        <w:bottom w:val="single" w:sz="4" w:space="1" w:color="auto"/>
      </w:pBdr>
      <w:rPr>
        <w:sz w:val="20"/>
        <w:szCs w:val="20"/>
      </w:rPr>
    </w:pPr>
    <w:r>
      <w:rPr>
        <w:sz w:val="20"/>
        <w:szCs w:val="20"/>
      </w:rPr>
      <w:tab/>
    </w:r>
    <w:r>
      <w:rPr>
        <w:sz w:val="20"/>
        <w:szCs w:val="20"/>
      </w:rPr>
      <w:tab/>
      <w:t>2018 IEC Annual Report</w:t>
    </w:r>
  </w:p>
  <w:p w14:paraId="72A55111" w14:textId="77777777" w:rsidR="008E7D7F" w:rsidRDefault="008E7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5676"/>
    <w:multiLevelType w:val="hybridMultilevel"/>
    <w:tmpl w:val="7BE81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624987"/>
    <w:multiLevelType w:val="hybridMultilevel"/>
    <w:tmpl w:val="02E0B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ED37CC"/>
    <w:multiLevelType w:val="hybridMultilevel"/>
    <w:tmpl w:val="3370A8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A716803"/>
    <w:multiLevelType w:val="hybridMultilevel"/>
    <w:tmpl w:val="20281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341872"/>
    <w:multiLevelType w:val="hybridMultilevel"/>
    <w:tmpl w:val="11C89F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83627A5"/>
    <w:multiLevelType w:val="multilevel"/>
    <w:tmpl w:val="C548E25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85141B9"/>
    <w:multiLevelType w:val="hybridMultilevel"/>
    <w:tmpl w:val="100A9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D3EB3"/>
    <w:multiLevelType w:val="hybridMultilevel"/>
    <w:tmpl w:val="56BCB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71CC9"/>
    <w:multiLevelType w:val="multilevel"/>
    <w:tmpl w:val="A49801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F752B00"/>
    <w:multiLevelType w:val="hybridMultilevel"/>
    <w:tmpl w:val="B066C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EF6E3A"/>
    <w:multiLevelType w:val="hybridMultilevel"/>
    <w:tmpl w:val="038EA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82760D"/>
    <w:multiLevelType w:val="hybridMultilevel"/>
    <w:tmpl w:val="49D6F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9F56E7"/>
    <w:multiLevelType w:val="hybridMultilevel"/>
    <w:tmpl w:val="529C8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C874D6"/>
    <w:multiLevelType w:val="hybridMultilevel"/>
    <w:tmpl w:val="FE001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A02642"/>
    <w:multiLevelType w:val="hybridMultilevel"/>
    <w:tmpl w:val="FB46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FA601A"/>
    <w:multiLevelType w:val="hybridMultilevel"/>
    <w:tmpl w:val="1FB0E538"/>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6" w15:restartNumberingAfterBreak="0">
    <w:nsid w:val="525B2BE9"/>
    <w:multiLevelType w:val="hybridMultilevel"/>
    <w:tmpl w:val="A1BC5C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53EC5CB7"/>
    <w:multiLevelType w:val="hybridMultilevel"/>
    <w:tmpl w:val="4502AACE"/>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8" w15:restartNumberingAfterBreak="0">
    <w:nsid w:val="564D0D77"/>
    <w:multiLevelType w:val="hybridMultilevel"/>
    <w:tmpl w:val="6E320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A10658"/>
    <w:multiLevelType w:val="hybridMultilevel"/>
    <w:tmpl w:val="0088B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3826C8"/>
    <w:multiLevelType w:val="hybridMultilevel"/>
    <w:tmpl w:val="C07A9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F9732E"/>
    <w:multiLevelType w:val="hybridMultilevel"/>
    <w:tmpl w:val="E2D82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6412966"/>
    <w:multiLevelType w:val="hybridMultilevel"/>
    <w:tmpl w:val="BE160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B31338"/>
    <w:multiLevelType w:val="hybridMultilevel"/>
    <w:tmpl w:val="8BA47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6F2523"/>
    <w:multiLevelType w:val="hybridMultilevel"/>
    <w:tmpl w:val="DC8A19F0"/>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5" w15:restartNumberingAfterBreak="0">
    <w:nsid w:val="7B8203DD"/>
    <w:multiLevelType w:val="hybridMultilevel"/>
    <w:tmpl w:val="C1D47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9F3026"/>
    <w:multiLevelType w:val="hybridMultilevel"/>
    <w:tmpl w:val="9B545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8"/>
  </w:num>
  <w:num w:numId="4">
    <w:abstractNumId w:val="16"/>
  </w:num>
  <w:num w:numId="5">
    <w:abstractNumId w:val="7"/>
  </w:num>
  <w:num w:numId="6">
    <w:abstractNumId w:val="5"/>
  </w:num>
  <w:num w:numId="7">
    <w:abstractNumId w:val="10"/>
  </w:num>
  <w:num w:numId="8">
    <w:abstractNumId w:val="23"/>
  </w:num>
  <w:num w:numId="9">
    <w:abstractNumId w:val="9"/>
  </w:num>
  <w:num w:numId="10">
    <w:abstractNumId w:val="4"/>
  </w:num>
  <w:num w:numId="11">
    <w:abstractNumId w:val="25"/>
  </w:num>
  <w:num w:numId="12">
    <w:abstractNumId w:val="26"/>
  </w:num>
  <w:num w:numId="13">
    <w:abstractNumId w:val="20"/>
  </w:num>
  <w:num w:numId="14">
    <w:abstractNumId w:val="21"/>
  </w:num>
  <w:num w:numId="15">
    <w:abstractNumId w:val="11"/>
  </w:num>
  <w:num w:numId="16">
    <w:abstractNumId w:val="22"/>
  </w:num>
  <w:num w:numId="17">
    <w:abstractNumId w:val="1"/>
  </w:num>
  <w:num w:numId="18">
    <w:abstractNumId w:val="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8"/>
  </w:num>
  <w:num w:numId="23">
    <w:abstractNumId w:val="13"/>
  </w:num>
  <w:num w:numId="24">
    <w:abstractNumId w:val="3"/>
  </w:num>
  <w:num w:numId="25">
    <w:abstractNumId w:val="24"/>
  </w:num>
  <w:num w:numId="26">
    <w:abstractNumId w:val="6"/>
  </w:num>
  <w:num w:numId="2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64"/>
    <w:rsid w:val="0000321B"/>
    <w:rsid w:val="000037A8"/>
    <w:rsid w:val="00013A5E"/>
    <w:rsid w:val="00024B8A"/>
    <w:rsid w:val="00032AF1"/>
    <w:rsid w:val="00046B6D"/>
    <w:rsid w:val="00047872"/>
    <w:rsid w:val="0005132D"/>
    <w:rsid w:val="000518F4"/>
    <w:rsid w:val="00062047"/>
    <w:rsid w:val="00066D5E"/>
    <w:rsid w:val="000725F5"/>
    <w:rsid w:val="00081420"/>
    <w:rsid w:val="00081C87"/>
    <w:rsid w:val="00084AAB"/>
    <w:rsid w:val="000A029D"/>
    <w:rsid w:val="000A0EAA"/>
    <w:rsid w:val="000A66F7"/>
    <w:rsid w:val="000A718E"/>
    <w:rsid w:val="000B6644"/>
    <w:rsid w:val="000B6D05"/>
    <w:rsid w:val="000C2D36"/>
    <w:rsid w:val="000C75D4"/>
    <w:rsid w:val="000D57D9"/>
    <w:rsid w:val="000D6CE2"/>
    <w:rsid w:val="000E4DFA"/>
    <w:rsid w:val="000E74F7"/>
    <w:rsid w:val="000F0345"/>
    <w:rsid w:val="000F4CAE"/>
    <w:rsid w:val="000F56E0"/>
    <w:rsid w:val="00104ABF"/>
    <w:rsid w:val="00104C57"/>
    <w:rsid w:val="001057A9"/>
    <w:rsid w:val="00111F55"/>
    <w:rsid w:val="00114636"/>
    <w:rsid w:val="0012570A"/>
    <w:rsid w:val="00150D41"/>
    <w:rsid w:val="00155A6C"/>
    <w:rsid w:val="00155AE6"/>
    <w:rsid w:val="0017071E"/>
    <w:rsid w:val="0017409C"/>
    <w:rsid w:val="00174A4E"/>
    <w:rsid w:val="001765A8"/>
    <w:rsid w:val="0018286C"/>
    <w:rsid w:val="001855CF"/>
    <w:rsid w:val="00193A22"/>
    <w:rsid w:val="001A6451"/>
    <w:rsid w:val="001A7772"/>
    <w:rsid w:val="001B4BC1"/>
    <w:rsid w:val="001C1745"/>
    <w:rsid w:val="001E0484"/>
    <w:rsid w:val="001E54EF"/>
    <w:rsid w:val="001E63C2"/>
    <w:rsid w:val="001F3F7C"/>
    <w:rsid w:val="001F5908"/>
    <w:rsid w:val="001F5A74"/>
    <w:rsid w:val="001F68D9"/>
    <w:rsid w:val="001F6AB3"/>
    <w:rsid w:val="00200289"/>
    <w:rsid w:val="00200A0B"/>
    <w:rsid w:val="002029D2"/>
    <w:rsid w:val="00210EF0"/>
    <w:rsid w:val="002203D3"/>
    <w:rsid w:val="00220ED1"/>
    <w:rsid w:val="00224C57"/>
    <w:rsid w:val="00226634"/>
    <w:rsid w:val="00230EF4"/>
    <w:rsid w:val="00242D59"/>
    <w:rsid w:val="0024386A"/>
    <w:rsid w:val="002465CB"/>
    <w:rsid w:val="002479EB"/>
    <w:rsid w:val="00252B16"/>
    <w:rsid w:val="002530EE"/>
    <w:rsid w:val="00253693"/>
    <w:rsid w:val="00255B08"/>
    <w:rsid w:val="00257E5A"/>
    <w:rsid w:val="002614BD"/>
    <w:rsid w:val="00262776"/>
    <w:rsid w:val="00263990"/>
    <w:rsid w:val="00263EAE"/>
    <w:rsid w:val="00266CE3"/>
    <w:rsid w:val="00271A6F"/>
    <w:rsid w:val="002732E7"/>
    <w:rsid w:val="00277934"/>
    <w:rsid w:val="00281C11"/>
    <w:rsid w:val="00291553"/>
    <w:rsid w:val="002A297B"/>
    <w:rsid w:val="002B4216"/>
    <w:rsid w:val="002B7EC9"/>
    <w:rsid w:val="002D6610"/>
    <w:rsid w:val="002D7D61"/>
    <w:rsid w:val="002E0837"/>
    <w:rsid w:val="002E70DF"/>
    <w:rsid w:val="002F342D"/>
    <w:rsid w:val="003032D1"/>
    <w:rsid w:val="003064D7"/>
    <w:rsid w:val="00306777"/>
    <w:rsid w:val="003077BB"/>
    <w:rsid w:val="00314E3E"/>
    <w:rsid w:val="00316B57"/>
    <w:rsid w:val="00320116"/>
    <w:rsid w:val="003405BA"/>
    <w:rsid w:val="00343FBF"/>
    <w:rsid w:val="00346D2E"/>
    <w:rsid w:val="003538DA"/>
    <w:rsid w:val="0036299C"/>
    <w:rsid w:val="00363888"/>
    <w:rsid w:val="00364DB2"/>
    <w:rsid w:val="00375CFB"/>
    <w:rsid w:val="00380CB5"/>
    <w:rsid w:val="00384A0E"/>
    <w:rsid w:val="0038589F"/>
    <w:rsid w:val="0039516E"/>
    <w:rsid w:val="0039543C"/>
    <w:rsid w:val="003B6762"/>
    <w:rsid w:val="003C21F4"/>
    <w:rsid w:val="003C3F97"/>
    <w:rsid w:val="003C4D2D"/>
    <w:rsid w:val="003C68BA"/>
    <w:rsid w:val="003D4171"/>
    <w:rsid w:val="003D4CFE"/>
    <w:rsid w:val="003E2B5B"/>
    <w:rsid w:val="003F09F0"/>
    <w:rsid w:val="003F0D4A"/>
    <w:rsid w:val="004003CB"/>
    <w:rsid w:val="0040521A"/>
    <w:rsid w:val="00405220"/>
    <w:rsid w:val="00406462"/>
    <w:rsid w:val="00410459"/>
    <w:rsid w:val="00414D94"/>
    <w:rsid w:val="00424F06"/>
    <w:rsid w:val="00433567"/>
    <w:rsid w:val="004359D8"/>
    <w:rsid w:val="00442F38"/>
    <w:rsid w:val="00466B53"/>
    <w:rsid w:val="0047162A"/>
    <w:rsid w:val="0048073E"/>
    <w:rsid w:val="004A3075"/>
    <w:rsid w:val="004A6789"/>
    <w:rsid w:val="004A7298"/>
    <w:rsid w:val="004B7B60"/>
    <w:rsid w:val="004C2DD4"/>
    <w:rsid w:val="004C506C"/>
    <w:rsid w:val="004C560D"/>
    <w:rsid w:val="004E3D47"/>
    <w:rsid w:val="004E768D"/>
    <w:rsid w:val="004F41CE"/>
    <w:rsid w:val="004F4D15"/>
    <w:rsid w:val="004F7E2C"/>
    <w:rsid w:val="005021AE"/>
    <w:rsid w:val="005035A8"/>
    <w:rsid w:val="00503977"/>
    <w:rsid w:val="005130C6"/>
    <w:rsid w:val="00520450"/>
    <w:rsid w:val="00526425"/>
    <w:rsid w:val="00535FE1"/>
    <w:rsid w:val="005418F5"/>
    <w:rsid w:val="0054430D"/>
    <w:rsid w:val="0054680F"/>
    <w:rsid w:val="005534ED"/>
    <w:rsid w:val="005543C9"/>
    <w:rsid w:val="005567CF"/>
    <w:rsid w:val="00566414"/>
    <w:rsid w:val="00572DAD"/>
    <w:rsid w:val="0057661E"/>
    <w:rsid w:val="005776CB"/>
    <w:rsid w:val="005844FA"/>
    <w:rsid w:val="00587AF8"/>
    <w:rsid w:val="005957A2"/>
    <w:rsid w:val="00596C68"/>
    <w:rsid w:val="005C5A92"/>
    <w:rsid w:val="005D453A"/>
    <w:rsid w:val="005D7660"/>
    <w:rsid w:val="005E3259"/>
    <w:rsid w:val="005F5F11"/>
    <w:rsid w:val="00600009"/>
    <w:rsid w:val="006031F9"/>
    <w:rsid w:val="0060794C"/>
    <w:rsid w:val="006138D7"/>
    <w:rsid w:val="00620BA6"/>
    <w:rsid w:val="00620D9D"/>
    <w:rsid w:val="00630AE7"/>
    <w:rsid w:val="00643145"/>
    <w:rsid w:val="00647531"/>
    <w:rsid w:val="00647D45"/>
    <w:rsid w:val="006533BD"/>
    <w:rsid w:val="0065495B"/>
    <w:rsid w:val="00662300"/>
    <w:rsid w:val="0066262D"/>
    <w:rsid w:val="00662A28"/>
    <w:rsid w:val="00671367"/>
    <w:rsid w:val="00671868"/>
    <w:rsid w:val="00675E95"/>
    <w:rsid w:val="0068411C"/>
    <w:rsid w:val="00684D58"/>
    <w:rsid w:val="006851CB"/>
    <w:rsid w:val="006918D2"/>
    <w:rsid w:val="00694051"/>
    <w:rsid w:val="00697ABD"/>
    <w:rsid w:val="006A1C56"/>
    <w:rsid w:val="006A22EB"/>
    <w:rsid w:val="006A53DF"/>
    <w:rsid w:val="006B7BD5"/>
    <w:rsid w:val="006C33FD"/>
    <w:rsid w:val="006D0227"/>
    <w:rsid w:val="006E0A75"/>
    <w:rsid w:val="006E7AC3"/>
    <w:rsid w:val="006E7D89"/>
    <w:rsid w:val="006F2E0E"/>
    <w:rsid w:val="006F3B54"/>
    <w:rsid w:val="006F5829"/>
    <w:rsid w:val="00700CE6"/>
    <w:rsid w:val="007019AC"/>
    <w:rsid w:val="0070524B"/>
    <w:rsid w:val="00706A40"/>
    <w:rsid w:val="00707BA2"/>
    <w:rsid w:val="00715132"/>
    <w:rsid w:val="007152CC"/>
    <w:rsid w:val="00723261"/>
    <w:rsid w:val="00731A5F"/>
    <w:rsid w:val="0075265E"/>
    <w:rsid w:val="00753A8C"/>
    <w:rsid w:val="00756690"/>
    <w:rsid w:val="00760BE5"/>
    <w:rsid w:val="00762FA9"/>
    <w:rsid w:val="00766F46"/>
    <w:rsid w:val="007757D6"/>
    <w:rsid w:val="00776CB0"/>
    <w:rsid w:val="00777E0F"/>
    <w:rsid w:val="00786C84"/>
    <w:rsid w:val="00787E81"/>
    <w:rsid w:val="0079713A"/>
    <w:rsid w:val="007B20B1"/>
    <w:rsid w:val="007B3618"/>
    <w:rsid w:val="007C688D"/>
    <w:rsid w:val="007D3108"/>
    <w:rsid w:val="007D4F8A"/>
    <w:rsid w:val="007D4FCC"/>
    <w:rsid w:val="007E16F5"/>
    <w:rsid w:val="007E4B64"/>
    <w:rsid w:val="007E60EC"/>
    <w:rsid w:val="007F2420"/>
    <w:rsid w:val="00806FFF"/>
    <w:rsid w:val="0080793E"/>
    <w:rsid w:val="0081158E"/>
    <w:rsid w:val="008157F1"/>
    <w:rsid w:val="00816C6A"/>
    <w:rsid w:val="00827B98"/>
    <w:rsid w:val="00830A55"/>
    <w:rsid w:val="00832E71"/>
    <w:rsid w:val="00833A6C"/>
    <w:rsid w:val="00840A37"/>
    <w:rsid w:val="00840FCC"/>
    <w:rsid w:val="008433B6"/>
    <w:rsid w:val="00846B40"/>
    <w:rsid w:val="00870777"/>
    <w:rsid w:val="00893EA2"/>
    <w:rsid w:val="008952E9"/>
    <w:rsid w:val="008A048B"/>
    <w:rsid w:val="008A5DEB"/>
    <w:rsid w:val="008B1F51"/>
    <w:rsid w:val="008B5203"/>
    <w:rsid w:val="008B5276"/>
    <w:rsid w:val="008C4780"/>
    <w:rsid w:val="008D3093"/>
    <w:rsid w:val="008D743E"/>
    <w:rsid w:val="008E0CDE"/>
    <w:rsid w:val="008E5AFD"/>
    <w:rsid w:val="008E7D7F"/>
    <w:rsid w:val="0090225F"/>
    <w:rsid w:val="009058FE"/>
    <w:rsid w:val="00905950"/>
    <w:rsid w:val="009101BF"/>
    <w:rsid w:val="009113F1"/>
    <w:rsid w:val="009119FA"/>
    <w:rsid w:val="00912C5B"/>
    <w:rsid w:val="009201D7"/>
    <w:rsid w:val="00921787"/>
    <w:rsid w:val="009361B3"/>
    <w:rsid w:val="00940F8D"/>
    <w:rsid w:val="00941782"/>
    <w:rsid w:val="00946917"/>
    <w:rsid w:val="00946EE0"/>
    <w:rsid w:val="009479B4"/>
    <w:rsid w:val="009508A5"/>
    <w:rsid w:val="009526CE"/>
    <w:rsid w:val="00961037"/>
    <w:rsid w:val="00961AAC"/>
    <w:rsid w:val="009634ED"/>
    <w:rsid w:val="00971D89"/>
    <w:rsid w:val="00985AB9"/>
    <w:rsid w:val="00990B6A"/>
    <w:rsid w:val="009A6340"/>
    <w:rsid w:val="009A653F"/>
    <w:rsid w:val="009B0EBD"/>
    <w:rsid w:val="009B334A"/>
    <w:rsid w:val="009B5510"/>
    <w:rsid w:val="009C20B3"/>
    <w:rsid w:val="009C2E67"/>
    <w:rsid w:val="009C3295"/>
    <w:rsid w:val="009C3448"/>
    <w:rsid w:val="009C39D0"/>
    <w:rsid w:val="009C5CE9"/>
    <w:rsid w:val="009E1B01"/>
    <w:rsid w:val="009F5A6C"/>
    <w:rsid w:val="00A06252"/>
    <w:rsid w:val="00A0686E"/>
    <w:rsid w:val="00A160AA"/>
    <w:rsid w:val="00A221FF"/>
    <w:rsid w:val="00A25925"/>
    <w:rsid w:val="00A25CE2"/>
    <w:rsid w:val="00A31265"/>
    <w:rsid w:val="00A31C1D"/>
    <w:rsid w:val="00A327E0"/>
    <w:rsid w:val="00A43116"/>
    <w:rsid w:val="00A44FCE"/>
    <w:rsid w:val="00A47AB9"/>
    <w:rsid w:val="00A51B16"/>
    <w:rsid w:val="00A54898"/>
    <w:rsid w:val="00A5749A"/>
    <w:rsid w:val="00A57FAE"/>
    <w:rsid w:val="00A60846"/>
    <w:rsid w:val="00A648C2"/>
    <w:rsid w:val="00A72EB5"/>
    <w:rsid w:val="00A73B40"/>
    <w:rsid w:val="00A75897"/>
    <w:rsid w:val="00A76801"/>
    <w:rsid w:val="00A77128"/>
    <w:rsid w:val="00A81170"/>
    <w:rsid w:val="00A82648"/>
    <w:rsid w:val="00AA1FB0"/>
    <w:rsid w:val="00AA22F8"/>
    <w:rsid w:val="00AB4918"/>
    <w:rsid w:val="00AC400F"/>
    <w:rsid w:val="00AC43A0"/>
    <w:rsid w:val="00AC55D8"/>
    <w:rsid w:val="00AD041F"/>
    <w:rsid w:val="00AD38E8"/>
    <w:rsid w:val="00AE23CC"/>
    <w:rsid w:val="00AE6092"/>
    <w:rsid w:val="00AF2494"/>
    <w:rsid w:val="00B11D18"/>
    <w:rsid w:val="00B12952"/>
    <w:rsid w:val="00B143E9"/>
    <w:rsid w:val="00B23CA1"/>
    <w:rsid w:val="00B463D2"/>
    <w:rsid w:val="00B545D2"/>
    <w:rsid w:val="00B62E99"/>
    <w:rsid w:val="00B64662"/>
    <w:rsid w:val="00B6469D"/>
    <w:rsid w:val="00B7212B"/>
    <w:rsid w:val="00B72C81"/>
    <w:rsid w:val="00BA0EC9"/>
    <w:rsid w:val="00BA4A2B"/>
    <w:rsid w:val="00BB0D14"/>
    <w:rsid w:val="00BB23AE"/>
    <w:rsid w:val="00BB35E6"/>
    <w:rsid w:val="00BB5AC8"/>
    <w:rsid w:val="00BC53EE"/>
    <w:rsid w:val="00BC6E3B"/>
    <w:rsid w:val="00BD0AFE"/>
    <w:rsid w:val="00BD162A"/>
    <w:rsid w:val="00BD5A68"/>
    <w:rsid w:val="00BE2AD0"/>
    <w:rsid w:val="00BE74A6"/>
    <w:rsid w:val="00BF1AC6"/>
    <w:rsid w:val="00C00E4E"/>
    <w:rsid w:val="00C00FCC"/>
    <w:rsid w:val="00C03503"/>
    <w:rsid w:val="00C10C0B"/>
    <w:rsid w:val="00C129DA"/>
    <w:rsid w:val="00C14C6F"/>
    <w:rsid w:val="00C311D6"/>
    <w:rsid w:val="00C32105"/>
    <w:rsid w:val="00C407D2"/>
    <w:rsid w:val="00C41FE4"/>
    <w:rsid w:val="00C430F5"/>
    <w:rsid w:val="00C54ABF"/>
    <w:rsid w:val="00C55E7F"/>
    <w:rsid w:val="00C57FF0"/>
    <w:rsid w:val="00C73DE7"/>
    <w:rsid w:val="00C75CB4"/>
    <w:rsid w:val="00CA3720"/>
    <w:rsid w:val="00CA37A2"/>
    <w:rsid w:val="00CA7038"/>
    <w:rsid w:val="00CB1891"/>
    <w:rsid w:val="00CC435D"/>
    <w:rsid w:val="00CC469F"/>
    <w:rsid w:val="00CD5124"/>
    <w:rsid w:val="00CE6169"/>
    <w:rsid w:val="00CF0367"/>
    <w:rsid w:val="00D01B81"/>
    <w:rsid w:val="00D03516"/>
    <w:rsid w:val="00D04169"/>
    <w:rsid w:val="00D0550B"/>
    <w:rsid w:val="00D05DA6"/>
    <w:rsid w:val="00D05F06"/>
    <w:rsid w:val="00D06594"/>
    <w:rsid w:val="00D14E65"/>
    <w:rsid w:val="00D2181A"/>
    <w:rsid w:val="00D22E48"/>
    <w:rsid w:val="00D35DC5"/>
    <w:rsid w:val="00D43F5D"/>
    <w:rsid w:val="00D4404B"/>
    <w:rsid w:val="00D550A5"/>
    <w:rsid w:val="00D552F9"/>
    <w:rsid w:val="00D669B6"/>
    <w:rsid w:val="00D93732"/>
    <w:rsid w:val="00DB289B"/>
    <w:rsid w:val="00DB6554"/>
    <w:rsid w:val="00DC2818"/>
    <w:rsid w:val="00DE043C"/>
    <w:rsid w:val="00DE54D6"/>
    <w:rsid w:val="00DE57D2"/>
    <w:rsid w:val="00DF6882"/>
    <w:rsid w:val="00DF6D52"/>
    <w:rsid w:val="00DF7AB5"/>
    <w:rsid w:val="00E10EF7"/>
    <w:rsid w:val="00E16E47"/>
    <w:rsid w:val="00E32AE5"/>
    <w:rsid w:val="00E3734D"/>
    <w:rsid w:val="00E4343B"/>
    <w:rsid w:val="00E4521E"/>
    <w:rsid w:val="00E46DD3"/>
    <w:rsid w:val="00E50A21"/>
    <w:rsid w:val="00E560E0"/>
    <w:rsid w:val="00E6046C"/>
    <w:rsid w:val="00E638E5"/>
    <w:rsid w:val="00E75514"/>
    <w:rsid w:val="00E76FA5"/>
    <w:rsid w:val="00E82B28"/>
    <w:rsid w:val="00E849F1"/>
    <w:rsid w:val="00E90691"/>
    <w:rsid w:val="00E97B94"/>
    <w:rsid w:val="00EC02B6"/>
    <w:rsid w:val="00ED1A10"/>
    <w:rsid w:val="00EE3E8C"/>
    <w:rsid w:val="00EE3FFB"/>
    <w:rsid w:val="00EE5C87"/>
    <w:rsid w:val="00EF1876"/>
    <w:rsid w:val="00EF30B4"/>
    <w:rsid w:val="00EF32DD"/>
    <w:rsid w:val="00EF5146"/>
    <w:rsid w:val="00EF516E"/>
    <w:rsid w:val="00F044FA"/>
    <w:rsid w:val="00F115B1"/>
    <w:rsid w:val="00F23570"/>
    <w:rsid w:val="00F24180"/>
    <w:rsid w:val="00F3006C"/>
    <w:rsid w:val="00F34CDE"/>
    <w:rsid w:val="00F50505"/>
    <w:rsid w:val="00F513A9"/>
    <w:rsid w:val="00F5347B"/>
    <w:rsid w:val="00F541E1"/>
    <w:rsid w:val="00F56239"/>
    <w:rsid w:val="00F61AA5"/>
    <w:rsid w:val="00F67FDB"/>
    <w:rsid w:val="00F75CA7"/>
    <w:rsid w:val="00F77628"/>
    <w:rsid w:val="00F80A87"/>
    <w:rsid w:val="00F84647"/>
    <w:rsid w:val="00F95D7C"/>
    <w:rsid w:val="00F960C1"/>
    <w:rsid w:val="00FA54C9"/>
    <w:rsid w:val="00FA7450"/>
    <w:rsid w:val="00FB0EE0"/>
    <w:rsid w:val="00FB2EA8"/>
    <w:rsid w:val="00FC4C4A"/>
    <w:rsid w:val="00FC6BC3"/>
    <w:rsid w:val="00FD4C65"/>
    <w:rsid w:val="00FD5FF3"/>
    <w:rsid w:val="00FE1123"/>
    <w:rsid w:val="00FE35DA"/>
    <w:rsid w:val="00FE58FF"/>
    <w:rsid w:val="00FE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B6ADA"/>
  <w15:docId w15:val="{E54DA011-C230-42ED-A552-68759B6B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B60"/>
  </w:style>
  <w:style w:type="paragraph" w:styleId="Heading1">
    <w:name w:val="heading 1"/>
    <w:basedOn w:val="Normal"/>
    <w:next w:val="Normal"/>
    <w:link w:val="Heading1Char"/>
    <w:qFormat/>
    <w:rsid w:val="0005132D"/>
    <w:pPr>
      <w:keepNext/>
      <w:pageBreakBefore/>
      <w:numPr>
        <w:numId w:val="3"/>
      </w:numPr>
      <w:overflowPunct w:val="0"/>
      <w:autoSpaceDE w:val="0"/>
      <w:autoSpaceDN w:val="0"/>
      <w:adjustRightInd w:val="0"/>
      <w:spacing w:before="240" w:after="60" w:line="240" w:lineRule="auto"/>
      <w:ind w:left="431" w:hanging="431"/>
      <w:textAlignment w:val="baseline"/>
      <w:outlineLvl w:val="0"/>
    </w:pPr>
    <w:rPr>
      <w:rFonts w:ascii="Arial Bold" w:eastAsia="Times New Roman" w:hAnsi="Arial Bold" w:cs="Times New Roman"/>
      <w:b/>
      <w:smallCaps/>
      <w:color w:val="233C64"/>
      <w:kern w:val="28"/>
      <w:sz w:val="32"/>
      <w:szCs w:val="20"/>
      <w:lang w:eastAsia="en-GB"/>
    </w:rPr>
  </w:style>
  <w:style w:type="paragraph" w:styleId="Heading2">
    <w:name w:val="heading 2"/>
    <w:basedOn w:val="Heading1"/>
    <w:next w:val="Normal"/>
    <w:link w:val="Heading2Char"/>
    <w:qFormat/>
    <w:rsid w:val="0005132D"/>
    <w:pPr>
      <w:pageBreakBefore w:val="0"/>
      <w:numPr>
        <w:ilvl w:val="1"/>
      </w:numPr>
      <w:spacing w:before="180"/>
      <w:ind w:left="709" w:hanging="709"/>
      <w:outlineLvl w:val="1"/>
    </w:pPr>
    <w:rPr>
      <w:smallCaps w:val="0"/>
      <w:sz w:val="28"/>
      <w:szCs w:val="28"/>
    </w:rPr>
  </w:style>
  <w:style w:type="paragraph" w:styleId="Heading3">
    <w:name w:val="heading 3"/>
    <w:basedOn w:val="Heading2"/>
    <w:next w:val="Normal"/>
    <w:link w:val="Heading3Char"/>
    <w:qFormat/>
    <w:rsid w:val="0005132D"/>
    <w:pPr>
      <w:numPr>
        <w:ilvl w:val="2"/>
      </w:numPr>
      <w:ind w:left="709" w:hanging="709"/>
      <w:outlineLvl w:val="2"/>
    </w:pPr>
    <w:rPr>
      <w:i/>
      <w:sz w:val="24"/>
    </w:rPr>
  </w:style>
  <w:style w:type="paragraph" w:styleId="Heading4">
    <w:name w:val="heading 4"/>
    <w:basedOn w:val="Normal"/>
    <w:next w:val="Normal"/>
    <w:link w:val="Heading4Char"/>
    <w:semiHidden/>
    <w:unhideWhenUsed/>
    <w:qFormat/>
    <w:rsid w:val="0005132D"/>
    <w:pPr>
      <w:keepNext/>
      <w:keepLines/>
      <w:numPr>
        <w:ilvl w:val="3"/>
        <w:numId w:val="3"/>
      </w:numPr>
      <w:overflowPunct w:val="0"/>
      <w:autoSpaceDE w:val="0"/>
      <w:autoSpaceDN w:val="0"/>
      <w:adjustRightInd w:val="0"/>
      <w:spacing w:before="200" w:after="0" w:line="240" w:lineRule="auto"/>
      <w:textAlignment w:val="baseline"/>
      <w:outlineLvl w:val="3"/>
    </w:pPr>
    <w:rPr>
      <w:rFonts w:asciiTheme="majorHAnsi" w:eastAsiaTheme="majorEastAsia" w:hAnsiTheme="majorHAnsi" w:cstheme="majorBidi"/>
      <w:b/>
      <w:bCs/>
      <w:i/>
      <w:iCs/>
      <w:color w:val="4F81BD" w:themeColor="accent1"/>
      <w:sz w:val="20"/>
      <w:szCs w:val="20"/>
      <w:lang w:eastAsia="en-GB"/>
    </w:rPr>
  </w:style>
  <w:style w:type="paragraph" w:styleId="Heading5">
    <w:name w:val="heading 5"/>
    <w:basedOn w:val="Normal"/>
    <w:next w:val="Normal"/>
    <w:link w:val="Heading5Char"/>
    <w:semiHidden/>
    <w:unhideWhenUsed/>
    <w:qFormat/>
    <w:rsid w:val="0005132D"/>
    <w:pPr>
      <w:keepNext/>
      <w:keepLines/>
      <w:numPr>
        <w:ilvl w:val="4"/>
        <w:numId w:val="3"/>
      </w:numPr>
      <w:overflowPunct w:val="0"/>
      <w:autoSpaceDE w:val="0"/>
      <w:autoSpaceDN w:val="0"/>
      <w:adjustRightInd w:val="0"/>
      <w:spacing w:before="200" w:after="0" w:line="240" w:lineRule="auto"/>
      <w:textAlignment w:val="baseline"/>
      <w:outlineLvl w:val="4"/>
    </w:pPr>
    <w:rPr>
      <w:rFonts w:asciiTheme="majorHAnsi" w:eastAsiaTheme="majorEastAsia" w:hAnsiTheme="majorHAnsi" w:cstheme="majorBidi"/>
      <w:color w:val="243F60" w:themeColor="accent1" w:themeShade="7F"/>
      <w:sz w:val="20"/>
      <w:szCs w:val="20"/>
      <w:lang w:eastAsia="en-GB"/>
    </w:rPr>
  </w:style>
  <w:style w:type="paragraph" w:styleId="Heading6">
    <w:name w:val="heading 6"/>
    <w:basedOn w:val="Normal"/>
    <w:next w:val="Normal"/>
    <w:link w:val="Heading6Char"/>
    <w:semiHidden/>
    <w:unhideWhenUsed/>
    <w:qFormat/>
    <w:rsid w:val="0005132D"/>
    <w:pPr>
      <w:keepNext/>
      <w:keepLines/>
      <w:numPr>
        <w:ilvl w:val="5"/>
        <w:numId w:val="3"/>
      </w:numPr>
      <w:overflowPunct w:val="0"/>
      <w:autoSpaceDE w:val="0"/>
      <w:autoSpaceDN w:val="0"/>
      <w:adjustRightInd w:val="0"/>
      <w:spacing w:before="200" w:after="0" w:line="240" w:lineRule="auto"/>
      <w:textAlignment w:val="baseline"/>
      <w:outlineLvl w:val="5"/>
    </w:pPr>
    <w:rPr>
      <w:rFonts w:asciiTheme="majorHAnsi" w:eastAsiaTheme="majorEastAsia" w:hAnsiTheme="majorHAnsi" w:cstheme="majorBidi"/>
      <w:i/>
      <w:iCs/>
      <w:color w:val="243F60" w:themeColor="accent1" w:themeShade="7F"/>
      <w:sz w:val="20"/>
      <w:szCs w:val="20"/>
      <w:lang w:eastAsia="en-GB"/>
    </w:rPr>
  </w:style>
  <w:style w:type="paragraph" w:styleId="Heading7">
    <w:name w:val="heading 7"/>
    <w:basedOn w:val="Normal"/>
    <w:next w:val="Normal"/>
    <w:link w:val="Heading7Char"/>
    <w:semiHidden/>
    <w:unhideWhenUsed/>
    <w:qFormat/>
    <w:rsid w:val="0005132D"/>
    <w:pPr>
      <w:keepNext/>
      <w:keepLines/>
      <w:numPr>
        <w:ilvl w:val="6"/>
        <w:numId w:val="3"/>
      </w:numPr>
      <w:overflowPunct w:val="0"/>
      <w:autoSpaceDE w:val="0"/>
      <w:autoSpaceDN w:val="0"/>
      <w:adjustRightInd w:val="0"/>
      <w:spacing w:before="200" w:after="0" w:line="240" w:lineRule="auto"/>
      <w:textAlignment w:val="baseline"/>
      <w:outlineLvl w:val="6"/>
    </w:pPr>
    <w:rPr>
      <w:rFonts w:asciiTheme="majorHAnsi" w:eastAsiaTheme="majorEastAsia" w:hAnsiTheme="majorHAnsi" w:cstheme="majorBidi"/>
      <w:i/>
      <w:iCs/>
      <w:color w:val="404040" w:themeColor="text1" w:themeTint="BF"/>
      <w:sz w:val="20"/>
      <w:szCs w:val="20"/>
      <w:lang w:eastAsia="en-GB"/>
    </w:rPr>
  </w:style>
  <w:style w:type="paragraph" w:styleId="Heading8">
    <w:name w:val="heading 8"/>
    <w:basedOn w:val="Normal"/>
    <w:next w:val="Normal"/>
    <w:link w:val="Heading8Char"/>
    <w:semiHidden/>
    <w:unhideWhenUsed/>
    <w:qFormat/>
    <w:rsid w:val="0005132D"/>
    <w:pPr>
      <w:keepNext/>
      <w:keepLines/>
      <w:numPr>
        <w:ilvl w:val="7"/>
        <w:numId w:val="3"/>
      </w:numPr>
      <w:overflowPunct w:val="0"/>
      <w:autoSpaceDE w:val="0"/>
      <w:autoSpaceDN w:val="0"/>
      <w:adjustRightInd w:val="0"/>
      <w:spacing w:before="200" w:after="0" w:line="240" w:lineRule="auto"/>
      <w:textAlignment w:val="baseline"/>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semiHidden/>
    <w:unhideWhenUsed/>
    <w:qFormat/>
    <w:rsid w:val="0005132D"/>
    <w:pPr>
      <w:keepNext/>
      <w:keepLines/>
      <w:numPr>
        <w:ilvl w:val="8"/>
        <w:numId w:val="3"/>
      </w:numPr>
      <w:overflowPunct w:val="0"/>
      <w:autoSpaceDE w:val="0"/>
      <w:autoSpaceDN w:val="0"/>
      <w:adjustRightInd w:val="0"/>
      <w:spacing w:before="200" w:after="0" w:line="240" w:lineRule="auto"/>
      <w:textAlignment w:val="baseline"/>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B64"/>
    <w:pPr>
      <w:ind w:left="720"/>
      <w:contextualSpacing/>
    </w:pPr>
  </w:style>
  <w:style w:type="paragraph" w:styleId="Header">
    <w:name w:val="header"/>
    <w:basedOn w:val="Normal"/>
    <w:link w:val="HeaderChar"/>
    <w:uiPriority w:val="99"/>
    <w:unhideWhenUsed/>
    <w:rsid w:val="001E6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3C2"/>
  </w:style>
  <w:style w:type="paragraph" w:styleId="Footer">
    <w:name w:val="footer"/>
    <w:basedOn w:val="Normal"/>
    <w:link w:val="FooterChar"/>
    <w:uiPriority w:val="99"/>
    <w:unhideWhenUsed/>
    <w:rsid w:val="001E6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3C2"/>
  </w:style>
  <w:style w:type="paragraph" w:styleId="BalloonText">
    <w:name w:val="Balloon Text"/>
    <w:basedOn w:val="Normal"/>
    <w:link w:val="BalloonTextChar"/>
    <w:uiPriority w:val="99"/>
    <w:semiHidden/>
    <w:unhideWhenUsed/>
    <w:rsid w:val="001E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3C2"/>
    <w:rPr>
      <w:rFonts w:ascii="Tahoma" w:hAnsi="Tahoma" w:cs="Tahoma"/>
      <w:sz w:val="16"/>
      <w:szCs w:val="16"/>
    </w:rPr>
  </w:style>
  <w:style w:type="table" w:styleId="TableGrid">
    <w:name w:val="Table Grid"/>
    <w:basedOn w:val="TableNormal"/>
    <w:uiPriority w:val="39"/>
    <w:rsid w:val="00B72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nhideWhenUsed/>
    <w:rsid w:val="009058FE"/>
    <w:pPr>
      <w:spacing w:after="0" w:line="240" w:lineRule="auto"/>
    </w:pPr>
    <w:rPr>
      <w:sz w:val="20"/>
      <w:szCs w:val="20"/>
    </w:rPr>
  </w:style>
  <w:style w:type="character" w:customStyle="1" w:styleId="FootnoteTextChar">
    <w:name w:val="Footnote Text Char"/>
    <w:basedOn w:val="DefaultParagraphFont"/>
    <w:link w:val="FootnoteText"/>
    <w:rsid w:val="009058FE"/>
    <w:rPr>
      <w:sz w:val="20"/>
      <w:szCs w:val="20"/>
    </w:rPr>
  </w:style>
  <w:style w:type="character" w:styleId="FootnoteReference">
    <w:name w:val="footnote reference"/>
    <w:basedOn w:val="DefaultParagraphFont"/>
    <w:unhideWhenUsed/>
    <w:rsid w:val="009058FE"/>
    <w:rPr>
      <w:vertAlign w:val="superscript"/>
    </w:rPr>
  </w:style>
  <w:style w:type="character" w:styleId="Hyperlink">
    <w:name w:val="Hyperlink"/>
    <w:basedOn w:val="DefaultParagraphFont"/>
    <w:uiPriority w:val="99"/>
    <w:unhideWhenUsed/>
    <w:rsid w:val="00E82B28"/>
    <w:rPr>
      <w:color w:val="0000FF"/>
      <w:u w:val="single"/>
    </w:rPr>
  </w:style>
  <w:style w:type="character" w:styleId="FollowedHyperlink">
    <w:name w:val="FollowedHyperlink"/>
    <w:basedOn w:val="DefaultParagraphFont"/>
    <w:uiPriority w:val="99"/>
    <w:semiHidden/>
    <w:unhideWhenUsed/>
    <w:rsid w:val="00776CB0"/>
    <w:rPr>
      <w:color w:val="800080" w:themeColor="followedHyperlink"/>
      <w:u w:val="single"/>
    </w:rPr>
  </w:style>
  <w:style w:type="table" w:customStyle="1" w:styleId="GridTable1Light-Accent11">
    <w:name w:val="Grid Table 1 Light - Accent 11"/>
    <w:basedOn w:val="TableNormal"/>
    <w:uiPriority w:val="46"/>
    <w:rsid w:val="00870777"/>
    <w:pPr>
      <w:spacing w:after="0" w:line="240" w:lineRule="auto"/>
    </w:pPr>
    <w:rPr>
      <w:rFonts w:eastAsiaTheme="minorHAns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ody1">
    <w:name w:val="Body 1"/>
    <w:basedOn w:val="Normal"/>
    <w:link w:val="Body1Char"/>
    <w:rsid w:val="0005132D"/>
    <w:pPr>
      <w:overflowPunct w:val="0"/>
      <w:autoSpaceDE w:val="0"/>
      <w:autoSpaceDN w:val="0"/>
      <w:adjustRightInd w:val="0"/>
      <w:spacing w:before="60" w:after="60" w:line="240" w:lineRule="auto"/>
      <w:textAlignment w:val="baseline"/>
    </w:pPr>
    <w:rPr>
      <w:rFonts w:ascii="Arial" w:eastAsia="Times New Roman" w:hAnsi="Arial" w:cs="Times New Roman"/>
      <w:sz w:val="20"/>
      <w:szCs w:val="20"/>
      <w:lang w:eastAsia="en-GB"/>
    </w:rPr>
  </w:style>
  <w:style w:type="character" w:customStyle="1" w:styleId="Body1Char">
    <w:name w:val="Body 1 Char"/>
    <w:basedOn w:val="DefaultParagraphFont"/>
    <w:link w:val="Body1"/>
    <w:rsid w:val="0005132D"/>
    <w:rPr>
      <w:rFonts w:ascii="Arial" w:eastAsia="Times New Roman" w:hAnsi="Arial" w:cs="Times New Roman"/>
      <w:sz w:val="20"/>
      <w:szCs w:val="20"/>
      <w:lang w:eastAsia="en-GB"/>
    </w:rPr>
  </w:style>
  <w:style w:type="character" w:customStyle="1" w:styleId="Heading1Char">
    <w:name w:val="Heading 1 Char"/>
    <w:basedOn w:val="DefaultParagraphFont"/>
    <w:link w:val="Heading1"/>
    <w:rsid w:val="0005132D"/>
    <w:rPr>
      <w:rFonts w:ascii="Arial Bold" w:eastAsia="Times New Roman" w:hAnsi="Arial Bold" w:cs="Times New Roman"/>
      <w:b/>
      <w:smallCaps/>
      <w:color w:val="233C64"/>
      <w:kern w:val="28"/>
      <w:sz w:val="32"/>
      <w:szCs w:val="20"/>
      <w:lang w:eastAsia="en-GB"/>
    </w:rPr>
  </w:style>
  <w:style w:type="character" w:customStyle="1" w:styleId="Heading2Char">
    <w:name w:val="Heading 2 Char"/>
    <w:basedOn w:val="DefaultParagraphFont"/>
    <w:link w:val="Heading2"/>
    <w:rsid w:val="0005132D"/>
    <w:rPr>
      <w:rFonts w:ascii="Arial Bold" w:eastAsia="Times New Roman" w:hAnsi="Arial Bold" w:cs="Times New Roman"/>
      <w:b/>
      <w:color w:val="233C64"/>
      <w:kern w:val="28"/>
      <w:sz w:val="28"/>
      <w:szCs w:val="28"/>
      <w:lang w:eastAsia="en-GB"/>
    </w:rPr>
  </w:style>
  <w:style w:type="character" w:customStyle="1" w:styleId="Heading3Char">
    <w:name w:val="Heading 3 Char"/>
    <w:basedOn w:val="DefaultParagraphFont"/>
    <w:link w:val="Heading3"/>
    <w:rsid w:val="0005132D"/>
    <w:rPr>
      <w:rFonts w:ascii="Arial Bold" w:eastAsia="Times New Roman" w:hAnsi="Arial Bold" w:cs="Times New Roman"/>
      <w:b/>
      <w:i/>
      <w:color w:val="233C64"/>
      <w:kern w:val="28"/>
      <w:sz w:val="24"/>
      <w:szCs w:val="28"/>
      <w:lang w:eastAsia="en-GB"/>
    </w:rPr>
  </w:style>
  <w:style w:type="character" w:customStyle="1" w:styleId="Heading4Char">
    <w:name w:val="Heading 4 Char"/>
    <w:basedOn w:val="DefaultParagraphFont"/>
    <w:link w:val="Heading4"/>
    <w:semiHidden/>
    <w:rsid w:val="0005132D"/>
    <w:rPr>
      <w:rFonts w:asciiTheme="majorHAnsi" w:eastAsiaTheme="majorEastAsia" w:hAnsiTheme="majorHAnsi" w:cstheme="majorBidi"/>
      <w:b/>
      <w:bCs/>
      <w:i/>
      <w:iCs/>
      <w:color w:val="4F81BD" w:themeColor="accent1"/>
      <w:sz w:val="20"/>
      <w:szCs w:val="20"/>
      <w:lang w:eastAsia="en-GB"/>
    </w:rPr>
  </w:style>
  <w:style w:type="character" w:customStyle="1" w:styleId="Heading5Char">
    <w:name w:val="Heading 5 Char"/>
    <w:basedOn w:val="DefaultParagraphFont"/>
    <w:link w:val="Heading5"/>
    <w:semiHidden/>
    <w:rsid w:val="0005132D"/>
    <w:rPr>
      <w:rFonts w:asciiTheme="majorHAnsi" w:eastAsiaTheme="majorEastAsia" w:hAnsiTheme="majorHAnsi" w:cstheme="majorBidi"/>
      <w:color w:val="243F60" w:themeColor="accent1" w:themeShade="7F"/>
      <w:sz w:val="20"/>
      <w:szCs w:val="20"/>
      <w:lang w:eastAsia="en-GB"/>
    </w:rPr>
  </w:style>
  <w:style w:type="character" w:customStyle="1" w:styleId="Heading6Char">
    <w:name w:val="Heading 6 Char"/>
    <w:basedOn w:val="DefaultParagraphFont"/>
    <w:link w:val="Heading6"/>
    <w:semiHidden/>
    <w:rsid w:val="0005132D"/>
    <w:rPr>
      <w:rFonts w:asciiTheme="majorHAnsi" w:eastAsiaTheme="majorEastAsia" w:hAnsiTheme="majorHAnsi" w:cstheme="majorBidi"/>
      <w:i/>
      <w:iCs/>
      <w:color w:val="243F60" w:themeColor="accent1" w:themeShade="7F"/>
      <w:sz w:val="20"/>
      <w:szCs w:val="20"/>
      <w:lang w:eastAsia="en-GB"/>
    </w:rPr>
  </w:style>
  <w:style w:type="character" w:customStyle="1" w:styleId="Heading7Char">
    <w:name w:val="Heading 7 Char"/>
    <w:basedOn w:val="DefaultParagraphFont"/>
    <w:link w:val="Heading7"/>
    <w:semiHidden/>
    <w:rsid w:val="0005132D"/>
    <w:rPr>
      <w:rFonts w:asciiTheme="majorHAnsi" w:eastAsiaTheme="majorEastAsia" w:hAnsiTheme="majorHAnsi" w:cstheme="majorBidi"/>
      <w:i/>
      <w:iCs/>
      <w:color w:val="404040" w:themeColor="text1" w:themeTint="BF"/>
      <w:sz w:val="20"/>
      <w:szCs w:val="20"/>
      <w:lang w:eastAsia="en-GB"/>
    </w:rPr>
  </w:style>
  <w:style w:type="character" w:customStyle="1" w:styleId="Heading8Char">
    <w:name w:val="Heading 8 Char"/>
    <w:basedOn w:val="DefaultParagraphFont"/>
    <w:link w:val="Heading8"/>
    <w:semiHidden/>
    <w:rsid w:val="0005132D"/>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semiHidden/>
    <w:rsid w:val="0005132D"/>
    <w:rPr>
      <w:rFonts w:asciiTheme="majorHAnsi" w:eastAsiaTheme="majorEastAsia" w:hAnsiTheme="majorHAnsi" w:cstheme="majorBidi"/>
      <w:i/>
      <w:iCs/>
      <w:color w:val="404040" w:themeColor="text1" w:themeTint="BF"/>
      <w:sz w:val="20"/>
      <w:szCs w:val="20"/>
      <w:lang w:eastAsia="en-GB"/>
    </w:rPr>
  </w:style>
  <w:style w:type="character" w:styleId="CommentReference">
    <w:name w:val="annotation reference"/>
    <w:basedOn w:val="DefaultParagraphFont"/>
    <w:semiHidden/>
    <w:unhideWhenUsed/>
    <w:rsid w:val="00414D94"/>
    <w:rPr>
      <w:sz w:val="16"/>
      <w:szCs w:val="16"/>
    </w:rPr>
  </w:style>
  <w:style w:type="paragraph" w:styleId="CommentText">
    <w:name w:val="annotation text"/>
    <w:basedOn w:val="Normal"/>
    <w:link w:val="CommentTextChar"/>
    <w:uiPriority w:val="99"/>
    <w:semiHidden/>
    <w:unhideWhenUsed/>
    <w:rsid w:val="00414D94"/>
    <w:pPr>
      <w:spacing w:line="240" w:lineRule="auto"/>
    </w:pPr>
    <w:rPr>
      <w:sz w:val="20"/>
      <w:szCs w:val="20"/>
    </w:rPr>
  </w:style>
  <w:style w:type="character" w:customStyle="1" w:styleId="CommentTextChar">
    <w:name w:val="Comment Text Char"/>
    <w:basedOn w:val="DefaultParagraphFont"/>
    <w:link w:val="CommentText"/>
    <w:uiPriority w:val="99"/>
    <w:semiHidden/>
    <w:rsid w:val="00414D94"/>
    <w:rPr>
      <w:sz w:val="20"/>
      <w:szCs w:val="20"/>
    </w:rPr>
  </w:style>
  <w:style w:type="paragraph" w:styleId="CommentSubject">
    <w:name w:val="annotation subject"/>
    <w:basedOn w:val="CommentText"/>
    <w:next w:val="CommentText"/>
    <w:link w:val="CommentSubjectChar"/>
    <w:uiPriority w:val="99"/>
    <w:semiHidden/>
    <w:unhideWhenUsed/>
    <w:rsid w:val="00414D94"/>
    <w:rPr>
      <w:b/>
      <w:bCs/>
    </w:rPr>
  </w:style>
  <w:style w:type="character" w:customStyle="1" w:styleId="CommentSubjectChar">
    <w:name w:val="Comment Subject Char"/>
    <w:basedOn w:val="CommentTextChar"/>
    <w:link w:val="CommentSubject"/>
    <w:uiPriority w:val="99"/>
    <w:semiHidden/>
    <w:rsid w:val="00414D94"/>
    <w:rPr>
      <w:b/>
      <w:bCs/>
      <w:sz w:val="20"/>
      <w:szCs w:val="20"/>
    </w:rPr>
  </w:style>
  <w:style w:type="paragraph" w:styleId="PlainText">
    <w:name w:val="Plain Text"/>
    <w:basedOn w:val="Normal"/>
    <w:link w:val="PlainTextChar"/>
    <w:uiPriority w:val="99"/>
    <w:semiHidden/>
    <w:unhideWhenUsed/>
    <w:rsid w:val="0067186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671868"/>
    <w:rPr>
      <w:rFonts w:ascii="Calibri" w:eastAsiaTheme="minorHAnsi" w:hAnsi="Calibri"/>
      <w:szCs w:val="21"/>
      <w:lang w:eastAsia="en-US"/>
    </w:rPr>
  </w:style>
  <w:style w:type="paragraph" w:customStyle="1" w:styleId="Default">
    <w:name w:val="Default"/>
    <w:rsid w:val="00A8264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364DB2"/>
    <w:pPr>
      <w:spacing w:before="120" w:after="120" w:line="240" w:lineRule="auto"/>
    </w:pPr>
    <w:rPr>
      <w:rFonts w:eastAsia="Times New Roman" w:cs="Times New Roman"/>
      <w:szCs w:val="20"/>
    </w:rPr>
  </w:style>
  <w:style w:type="character" w:customStyle="1" w:styleId="BodyTextChar">
    <w:name w:val="Body Text Char"/>
    <w:basedOn w:val="DefaultParagraphFont"/>
    <w:link w:val="BodyText"/>
    <w:rsid w:val="00364DB2"/>
    <w:rPr>
      <w:rFonts w:eastAsia="Times New Roman" w:cs="Times New Roman"/>
      <w:szCs w:val="20"/>
    </w:rPr>
  </w:style>
  <w:style w:type="paragraph" w:styleId="Revision">
    <w:name w:val="Revision"/>
    <w:hidden/>
    <w:uiPriority w:val="99"/>
    <w:semiHidden/>
    <w:rsid w:val="00D22E48"/>
    <w:pPr>
      <w:spacing w:after="0" w:line="240" w:lineRule="auto"/>
    </w:pPr>
  </w:style>
  <w:style w:type="table" w:customStyle="1" w:styleId="BasicAEMOTable">
    <w:name w:val="Basic AEMO Table"/>
    <w:basedOn w:val="TableNormal"/>
    <w:uiPriority w:val="99"/>
    <w:qFormat/>
    <w:rsid w:val="008E7D7F"/>
    <w:pPr>
      <w:spacing w:before="60" w:after="6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3794">
      <w:bodyDiv w:val="1"/>
      <w:marLeft w:val="0"/>
      <w:marRight w:val="0"/>
      <w:marTop w:val="0"/>
      <w:marBottom w:val="0"/>
      <w:divBdr>
        <w:top w:val="none" w:sz="0" w:space="0" w:color="auto"/>
        <w:left w:val="none" w:sz="0" w:space="0" w:color="auto"/>
        <w:bottom w:val="none" w:sz="0" w:space="0" w:color="auto"/>
        <w:right w:val="none" w:sz="0" w:space="0" w:color="auto"/>
      </w:divBdr>
      <w:divsChild>
        <w:div w:id="865796642">
          <w:marLeft w:val="274"/>
          <w:marRight w:val="0"/>
          <w:marTop w:val="120"/>
          <w:marBottom w:val="0"/>
          <w:divBdr>
            <w:top w:val="none" w:sz="0" w:space="0" w:color="auto"/>
            <w:left w:val="none" w:sz="0" w:space="0" w:color="auto"/>
            <w:bottom w:val="none" w:sz="0" w:space="0" w:color="auto"/>
            <w:right w:val="none" w:sz="0" w:space="0" w:color="auto"/>
          </w:divBdr>
        </w:div>
        <w:div w:id="1625581099">
          <w:marLeft w:val="706"/>
          <w:marRight w:val="0"/>
          <w:marTop w:val="58"/>
          <w:marBottom w:val="0"/>
          <w:divBdr>
            <w:top w:val="none" w:sz="0" w:space="0" w:color="auto"/>
            <w:left w:val="none" w:sz="0" w:space="0" w:color="auto"/>
            <w:bottom w:val="none" w:sz="0" w:space="0" w:color="auto"/>
            <w:right w:val="none" w:sz="0" w:space="0" w:color="auto"/>
          </w:divBdr>
        </w:div>
        <w:div w:id="501165041">
          <w:marLeft w:val="706"/>
          <w:marRight w:val="0"/>
          <w:marTop w:val="58"/>
          <w:marBottom w:val="0"/>
          <w:divBdr>
            <w:top w:val="none" w:sz="0" w:space="0" w:color="auto"/>
            <w:left w:val="none" w:sz="0" w:space="0" w:color="auto"/>
            <w:bottom w:val="none" w:sz="0" w:space="0" w:color="auto"/>
            <w:right w:val="none" w:sz="0" w:space="0" w:color="auto"/>
          </w:divBdr>
        </w:div>
        <w:div w:id="1532962363">
          <w:marLeft w:val="274"/>
          <w:marRight w:val="0"/>
          <w:marTop w:val="120"/>
          <w:marBottom w:val="0"/>
          <w:divBdr>
            <w:top w:val="none" w:sz="0" w:space="0" w:color="auto"/>
            <w:left w:val="none" w:sz="0" w:space="0" w:color="auto"/>
            <w:bottom w:val="none" w:sz="0" w:space="0" w:color="auto"/>
            <w:right w:val="none" w:sz="0" w:space="0" w:color="auto"/>
          </w:divBdr>
        </w:div>
        <w:div w:id="1267082042">
          <w:marLeft w:val="706"/>
          <w:marRight w:val="0"/>
          <w:marTop w:val="58"/>
          <w:marBottom w:val="0"/>
          <w:divBdr>
            <w:top w:val="none" w:sz="0" w:space="0" w:color="auto"/>
            <w:left w:val="none" w:sz="0" w:space="0" w:color="auto"/>
            <w:bottom w:val="none" w:sz="0" w:space="0" w:color="auto"/>
            <w:right w:val="none" w:sz="0" w:space="0" w:color="auto"/>
          </w:divBdr>
        </w:div>
        <w:div w:id="1854411911">
          <w:marLeft w:val="706"/>
          <w:marRight w:val="0"/>
          <w:marTop w:val="58"/>
          <w:marBottom w:val="0"/>
          <w:divBdr>
            <w:top w:val="none" w:sz="0" w:space="0" w:color="auto"/>
            <w:left w:val="none" w:sz="0" w:space="0" w:color="auto"/>
            <w:bottom w:val="none" w:sz="0" w:space="0" w:color="auto"/>
            <w:right w:val="none" w:sz="0" w:space="0" w:color="auto"/>
          </w:divBdr>
        </w:div>
        <w:div w:id="68618732">
          <w:marLeft w:val="274"/>
          <w:marRight w:val="0"/>
          <w:marTop w:val="120"/>
          <w:marBottom w:val="0"/>
          <w:divBdr>
            <w:top w:val="none" w:sz="0" w:space="0" w:color="auto"/>
            <w:left w:val="none" w:sz="0" w:space="0" w:color="auto"/>
            <w:bottom w:val="none" w:sz="0" w:space="0" w:color="auto"/>
            <w:right w:val="none" w:sz="0" w:space="0" w:color="auto"/>
          </w:divBdr>
        </w:div>
        <w:div w:id="1043866631">
          <w:marLeft w:val="706"/>
          <w:marRight w:val="0"/>
          <w:marTop w:val="58"/>
          <w:marBottom w:val="0"/>
          <w:divBdr>
            <w:top w:val="none" w:sz="0" w:space="0" w:color="auto"/>
            <w:left w:val="none" w:sz="0" w:space="0" w:color="auto"/>
            <w:bottom w:val="none" w:sz="0" w:space="0" w:color="auto"/>
            <w:right w:val="none" w:sz="0" w:space="0" w:color="auto"/>
          </w:divBdr>
        </w:div>
        <w:div w:id="774055507">
          <w:marLeft w:val="274"/>
          <w:marRight w:val="0"/>
          <w:marTop w:val="120"/>
          <w:marBottom w:val="0"/>
          <w:divBdr>
            <w:top w:val="none" w:sz="0" w:space="0" w:color="auto"/>
            <w:left w:val="none" w:sz="0" w:space="0" w:color="auto"/>
            <w:bottom w:val="none" w:sz="0" w:space="0" w:color="auto"/>
            <w:right w:val="none" w:sz="0" w:space="0" w:color="auto"/>
          </w:divBdr>
        </w:div>
        <w:div w:id="1111558212">
          <w:marLeft w:val="706"/>
          <w:marRight w:val="0"/>
          <w:marTop w:val="58"/>
          <w:marBottom w:val="0"/>
          <w:divBdr>
            <w:top w:val="none" w:sz="0" w:space="0" w:color="auto"/>
            <w:left w:val="none" w:sz="0" w:space="0" w:color="auto"/>
            <w:bottom w:val="none" w:sz="0" w:space="0" w:color="auto"/>
            <w:right w:val="none" w:sz="0" w:space="0" w:color="auto"/>
          </w:divBdr>
        </w:div>
        <w:div w:id="819227977">
          <w:marLeft w:val="72"/>
          <w:marRight w:val="0"/>
          <w:marTop w:val="120"/>
          <w:marBottom w:val="0"/>
          <w:divBdr>
            <w:top w:val="none" w:sz="0" w:space="0" w:color="auto"/>
            <w:left w:val="none" w:sz="0" w:space="0" w:color="auto"/>
            <w:bottom w:val="none" w:sz="0" w:space="0" w:color="auto"/>
            <w:right w:val="none" w:sz="0" w:space="0" w:color="auto"/>
          </w:divBdr>
        </w:div>
        <w:div w:id="818688017">
          <w:marLeft w:val="706"/>
          <w:marRight w:val="0"/>
          <w:marTop w:val="58"/>
          <w:marBottom w:val="0"/>
          <w:divBdr>
            <w:top w:val="none" w:sz="0" w:space="0" w:color="auto"/>
            <w:left w:val="none" w:sz="0" w:space="0" w:color="auto"/>
            <w:bottom w:val="none" w:sz="0" w:space="0" w:color="auto"/>
            <w:right w:val="none" w:sz="0" w:space="0" w:color="auto"/>
          </w:divBdr>
        </w:div>
        <w:div w:id="1782717">
          <w:marLeft w:val="706"/>
          <w:marRight w:val="0"/>
          <w:marTop w:val="58"/>
          <w:marBottom w:val="0"/>
          <w:divBdr>
            <w:top w:val="none" w:sz="0" w:space="0" w:color="auto"/>
            <w:left w:val="none" w:sz="0" w:space="0" w:color="auto"/>
            <w:bottom w:val="none" w:sz="0" w:space="0" w:color="auto"/>
            <w:right w:val="none" w:sz="0" w:space="0" w:color="auto"/>
          </w:divBdr>
        </w:div>
      </w:divsChild>
    </w:div>
    <w:div w:id="277369295">
      <w:bodyDiv w:val="1"/>
      <w:marLeft w:val="0"/>
      <w:marRight w:val="0"/>
      <w:marTop w:val="0"/>
      <w:marBottom w:val="0"/>
      <w:divBdr>
        <w:top w:val="none" w:sz="0" w:space="0" w:color="auto"/>
        <w:left w:val="none" w:sz="0" w:space="0" w:color="auto"/>
        <w:bottom w:val="none" w:sz="0" w:space="0" w:color="auto"/>
        <w:right w:val="none" w:sz="0" w:space="0" w:color="auto"/>
      </w:divBdr>
    </w:div>
    <w:div w:id="320351799">
      <w:bodyDiv w:val="1"/>
      <w:marLeft w:val="0"/>
      <w:marRight w:val="0"/>
      <w:marTop w:val="0"/>
      <w:marBottom w:val="0"/>
      <w:divBdr>
        <w:top w:val="none" w:sz="0" w:space="0" w:color="auto"/>
        <w:left w:val="none" w:sz="0" w:space="0" w:color="auto"/>
        <w:bottom w:val="none" w:sz="0" w:space="0" w:color="auto"/>
        <w:right w:val="none" w:sz="0" w:space="0" w:color="auto"/>
      </w:divBdr>
      <w:divsChild>
        <w:div w:id="353843626">
          <w:marLeft w:val="576"/>
          <w:marRight w:val="0"/>
          <w:marTop w:val="120"/>
          <w:marBottom w:val="0"/>
          <w:divBdr>
            <w:top w:val="none" w:sz="0" w:space="0" w:color="auto"/>
            <w:left w:val="none" w:sz="0" w:space="0" w:color="auto"/>
            <w:bottom w:val="none" w:sz="0" w:space="0" w:color="auto"/>
            <w:right w:val="none" w:sz="0" w:space="0" w:color="auto"/>
          </w:divBdr>
        </w:div>
        <w:div w:id="1508061382">
          <w:marLeft w:val="576"/>
          <w:marRight w:val="0"/>
          <w:marTop w:val="120"/>
          <w:marBottom w:val="0"/>
          <w:divBdr>
            <w:top w:val="none" w:sz="0" w:space="0" w:color="auto"/>
            <w:left w:val="none" w:sz="0" w:space="0" w:color="auto"/>
            <w:bottom w:val="none" w:sz="0" w:space="0" w:color="auto"/>
            <w:right w:val="none" w:sz="0" w:space="0" w:color="auto"/>
          </w:divBdr>
        </w:div>
        <w:div w:id="1134828606">
          <w:marLeft w:val="576"/>
          <w:marRight w:val="0"/>
          <w:marTop w:val="120"/>
          <w:marBottom w:val="0"/>
          <w:divBdr>
            <w:top w:val="none" w:sz="0" w:space="0" w:color="auto"/>
            <w:left w:val="none" w:sz="0" w:space="0" w:color="auto"/>
            <w:bottom w:val="none" w:sz="0" w:space="0" w:color="auto"/>
            <w:right w:val="none" w:sz="0" w:space="0" w:color="auto"/>
          </w:divBdr>
        </w:div>
        <w:div w:id="307513029">
          <w:marLeft w:val="576"/>
          <w:marRight w:val="0"/>
          <w:marTop w:val="120"/>
          <w:marBottom w:val="0"/>
          <w:divBdr>
            <w:top w:val="none" w:sz="0" w:space="0" w:color="auto"/>
            <w:left w:val="none" w:sz="0" w:space="0" w:color="auto"/>
            <w:bottom w:val="none" w:sz="0" w:space="0" w:color="auto"/>
            <w:right w:val="none" w:sz="0" w:space="0" w:color="auto"/>
          </w:divBdr>
        </w:div>
      </w:divsChild>
    </w:div>
    <w:div w:id="358509647">
      <w:bodyDiv w:val="1"/>
      <w:marLeft w:val="0"/>
      <w:marRight w:val="0"/>
      <w:marTop w:val="0"/>
      <w:marBottom w:val="0"/>
      <w:divBdr>
        <w:top w:val="none" w:sz="0" w:space="0" w:color="auto"/>
        <w:left w:val="none" w:sz="0" w:space="0" w:color="auto"/>
        <w:bottom w:val="none" w:sz="0" w:space="0" w:color="auto"/>
        <w:right w:val="none" w:sz="0" w:space="0" w:color="auto"/>
      </w:divBdr>
    </w:div>
    <w:div w:id="538511863">
      <w:bodyDiv w:val="1"/>
      <w:marLeft w:val="0"/>
      <w:marRight w:val="0"/>
      <w:marTop w:val="0"/>
      <w:marBottom w:val="0"/>
      <w:divBdr>
        <w:top w:val="none" w:sz="0" w:space="0" w:color="auto"/>
        <w:left w:val="none" w:sz="0" w:space="0" w:color="auto"/>
        <w:bottom w:val="none" w:sz="0" w:space="0" w:color="auto"/>
        <w:right w:val="none" w:sz="0" w:space="0" w:color="auto"/>
      </w:divBdr>
    </w:div>
    <w:div w:id="581262643">
      <w:bodyDiv w:val="1"/>
      <w:marLeft w:val="0"/>
      <w:marRight w:val="0"/>
      <w:marTop w:val="0"/>
      <w:marBottom w:val="0"/>
      <w:divBdr>
        <w:top w:val="none" w:sz="0" w:space="0" w:color="auto"/>
        <w:left w:val="none" w:sz="0" w:space="0" w:color="auto"/>
        <w:bottom w:val="none" w:sz="0" w:space="0" w:color="auto"/>
        <w:right w:val="none" w:sz="0" w:space="0" w:color="auto"/>
      </w:divBdr>
    </w:div>
    <w:div w:id="713893770">
      <w:bodyDiv w:val="1"/>
      <w:marLeft w:val="0"/>
      <w:marRight w:val="0"/>
      <w:marTop w:val="0"/>
      <w:marBottom w:val="0"/>
      <w:divBdr>
        <w:top w:val="none" w:sz="0" w:space="0" w:color="auto"/>
        <w:left w:val="none" w:sz="0" w:space="0" w:color="auto"/>
        <w:bottom w:val="none" w:sz="0" w:space="0" w:color="auto"/>
        <w:right w:val="none" w:sz="0" w:space="0" w:color="auto"/>
      </w:divBdr>
    </w:div>
    <w:div w:id="907301498">
      <w:bodyDiv w:val="1"/>
      <w:marLeft w:val="0"/>
      <w:marRight w:val="0"/>
      <w:marTop w:val="0"/>
      <w:marBottom w:val="0"/>
      <w:divBdr>
        <w:top w:val="none" w:sz="0" w:space="0" w:color="auto"/>
        <w:left w:val="none" w:sz="0" w:space="0" w:color="auto"/>
        <w:bottom w:val="none" w:sz="0" w:space="0" w:color="auto"/>
        <w:right w:val="none" w:sz="0" w:space="0" w:color="auto"/>
      </w:divBdr>
    </w:div>
    <w:div w:id="914120854">
      <w:bodyDiv w:val="1"/>
      <w:marLeft w:val="0"/>
      <w:marRight w:val="0"/>
      <w:marTop w:val="0"/>
      <w:marBottom w:val="0"/>
      <w:divBdr>
        <w:top w:val="none" w:sz="0" w:space="0" w:color="auto"/>
        <w:left w:val="none" w:sz="0" w:space="0" w:color="auto"/>
        <w:bottom w:val="none" w:sz="0" w:space="0" w:color="auto"/>
        <w:right w:val="none" w:sz="0" w:space="0" w:color="auto"/>
      </w:divBdr>
      <w:divsChild>
        <w:div w:id="1317148996">
          <w:marLeft w:val="274"/>
          <w:marRight w:val="0"/>
          <w:marTop w:val="120"/>
          <w:marBottom w:val="0"/>
          <w:divBdr>
            <w:top w:val="none" w:sz="0" w:space="0" w:color="auto"/>
            <w:left w:val="none" w:sz="0" w:space="0" w:color="auto"/>
            <w:bottom w:val="none" w:sz="0" w:space="0" w:color="auto"/>
            <w:right w:val="none" w:sz="0" w:space="0" w:color="auto"/>
          </w:divBdr>
        </w:div>
        <w:div w:id="1615748858">
          <w:marLeft w:val="706"/>
          <w:marRight w:val="0"/>
          <w:marTop w:val="58"/>
          <w:marBottom w:val="0"/>
          <w:divBdr>
            <w:top w:val="none" w:sz="0" w:space="0" w:color="auto"/>
            <w:left w:val="none" w:sz="0" w:space="0" w:color="auto"/>
            <w:bottom w:val="none" w:sz="0" w:space="0" w:color="auto"/>
            <w:right w:val="none" w:sz="0" w:space="0" w:color="auto"/>
          </w:divBdr>
        </w:div>
        <w:div w:id="1198741794">
          <w:marLeft w:val="706"/>
          <w:marRight w:val="0"/>
          <w:marTop w:val="58"/>
          <w:marBottom w:val="0"/>
          <w:divBdr>
            <w:top w:val="none" w:sz="0" w:space="0" w:color="auto"/>
            <w:left w:val="none" w:sz="0" w:space="0" w:color="auto"/>
            <w:bottom w:val="none" w:sz="0" w:space="0" w:color="auto"/>
            <w:right w:val="none" w:sz="0" w:space="0" w:color="auto"/>
          </w:divBdr>
        </w:div>
        <w:div w:id="289173257">
          <w:marLeft w:val="274"/>
          <w:marRight w:val="0"/>
          <w:marTop w:val="120"/>
          <w:marBottom w:val="0"/>
          <w:divBdr>
            <w:top w:val="none" w:sz="0" w:space="0" w:color="auto"/>
            <w:left w:val="none" w:sz="0" w:space="0" w:color="auto"/>
            <w:bottom w:val="none" w:sz="0" w:space="0" w:color="auto"/>
            <w:right w:val="none" w:sz="0" w:space="0" w:color="auto"/>
          </w:divBdr>
        </w:div>
        <w:div w:id="1459955270">
          <w:marLeft w:val="706"/>
          <w:marRight w:val="0"/>
          <w:marTop w:val="58"/>
          <w:marBottom w:val="0"/>
          <w:divBdr>
            <w:top w:val="none" w:sz="0" w:space="0" w:color="auto"/>
            <w:left w:val="none" w:sz="0" w:space="0" w:color="auto"/>
            <w:bottom w:val="none" w:sz="0" w:space="0" w:color="auto"/>
            <w:right w:val="none" w:sz="0" w:space="0" w:color="auto"/>
          </w:divBdr>
        </w:div>
        <w:div w:id="1419980310">
          <w:marLeft w:val="706"/>
          <w:marRight w:val="0"/>
          <w:marTop w:val="58"/>
          <w:marBottom w:val="0"/>
          <w:divBdr>
            <w:top w:val="none" w:sz="0" w:space="0" w:color="auto"/>
            <w:left w:val="none" w:sz="0" w:space="0" w:color="auto"/>
            <w:bottom w:val="none" w:sz="0" w:space="0" w:color="auto"/>
            <w:right w:val="none" w:sz="0" w:space="0" w:color="auto"/>
          </w:divBdr>
        </w:div>
        <w:div w:id="527718069">
          <w:marLeft w:val="274"/>
          <w:marRight w:val="0"/>
          <w:marTop w:val="120"/>
          <w:marBottom w:val="0"/>
          <w:divBdr>
            <w:top w:val="none" w:sz="0" w:space="0" w:color="auto"/>
            <w:left w:val="none" w:sz="0" w:space="0" w:color="auto"/>
            <w:bottom w:val="none" w:sz="0" w:space="0" w:color="auto"/>
            <w:right w:val="none" w:sz="0" w:space="0" w:color="auto"/>
          </w:divBdr>
        </w:div>
        <w:div w:id="2049719113">
          <w:marLeft w:val="706"/>
          <w:marRight w:val="0"/>
          <w:marTop w:val="58"/>
          <w:marBottom w:val="0"/>
          <w:divBdr>
            <w:top w:val="none" w:sz="0" w:space="0" w:color="auto"/>
            <w:left w:val="none" w:sz="0" w:space="0" w:color="auto"/>
            <w:bottom w:val="none" w:sz="0" w:space="0" w:color="auto"/>
            <w:right w:val="none" w:sz="0" w:space="0" w:color="auto"/>
          </w:divBdr>
        </w:div>
        <w:div w:id="36785989">
          <w:marLeft w:val="274"/>
          <w:marRight w:val="0"/>
          <w:marTop w:val="120"/>
          <w:marBottom w:val="0"/>
          <w:divBdr>
            <w:top w:val="none" w:sz="0" w:space="0" w:color="auto"/>
            <w:left w:val="none" w:sz="0" w:space="0" w:color="auto"/>
            <w:bottom w:val="none" w:sz="0" w:space="0" w:color="auto"/>
            <w:right w:val="none" w:sz="0" w:space="0" w:color="auto"/>
          </w:divBdr>
        </w:div>
        <w:div w:id="878511158">
          <w:marLeft w:val="706"/>
          <w:marRight w:val="0"/>
          <w:marTop w:val="58"/>
          <w:marBottom w:val="0"/>
          <w:divBdr>
            <w:top w:val="none" w:sz="0" w:space="0" w:color="auto"/>
            <w:left w:val="none" w:sz="0" w:space="0" w:color="auto"/>
            <w:bottom w:val="none" w:sz="0" w:space="0" w:color="auto"/>
            <w:right w:val="none" w:sz="0" w:space="0" w:color="auto"/>
          </w:divBdr>
        </w:div>
        <w:div w:id="443690159">
          <w:marLeft w:val="72"/>
          <w:marRight w:val="0"/>
          <w:marTop w:val="120"/>
          <w:marBottom w:val="0"/>
          <w:divBdr>
            <w:top w:val="none" w:sz="0" w:space="0" w:color="auto"/>
            <w:left w:val="none" w:sz="0" w:space="0" w:color="auto"/>
            <w:bottom w:val="none" w:sz="0" w:space="0" w:color="auto"/>
            <w:right w:val="none" w:sz="0" w:space="0" w:color="auto"/>
          </w:divBdr>
        </w:div>
        <w:div w:id="1460345395">
          <w:marLeft w:val="706"/>
          <w:marRight w:val="0"/>
          <w:marTop w:val="58"/>
          <w:marBottom w:val="0"/>
          <w:divBdr>
            <w:top w:val="none" w:sz="0" w:space="0" w:color="auto"/>
            <w:left w:val="none" w:sz="0" w:space="0" w:color="auto"/>
            <w:bottom w:val="none" w:sz="0" w:space="0" w:color="auto"/>
            <w:right w:val="none" w:sz="0" w:space="0" w:color="auto"/>
          </w:divBdr>
        </w:div>
        <w:div w:id="916212876">
          <w:marLeft w:val="706"/>
          <w:marRight w:val="0"/>
          <w:marTop w:val="58"/>
          <w:marBottom w:val="0"/>
          <w:divBdr>
            <w:top w:val="none" w:sz="0" w:space="0" w:color="auto"/>
            <w:left w:val="none" w:sz="0" w:space="0" w:color="auto"/>
            <w:bottom w:val="none" w:sz="0" w:space="0" w:color="auto"/>
            <w:right w:val="none" w:sz="0" w:space="0" w:color="auto"/>
          </w:divBdr>
        </w:div>
      </w:divsChild>
    </w:div>
    <w:div w:id="935140374">
      <w:bodyDiv w:val="1"/>
      <w:marLeft w:val="0"/>
      <w:marRight w:val="0"/>
      <w:marTop w:val="0"/>
      <w:marBottom w:val="0"/>
      <w:divBdr>
        <w:top w:val="none" w:sz="0" w:space="0" w:color="auto"/>
        <w:left w:val="none" w:sz="0" w:space="0" w:color="auto"/>
        <w:bottom w:val="none" w:sz="0" w:space="0" w:color="auto"/>
        <w:right w:val="none" w:sz="0" w:space="0" w:color="auto"/>
      </w:divBdr>
    </w:div>
    <w:div w:id="1065567971">
      <w:bodyDiv w:val="1"/>
      <w:marLeft w:val="0"/>
      <w:marRight w:val="0"/>
      <w:marTop w:val="0"/>
      <w:marBottom w:val="0"/>
      <w:divBdr>
        <w:top w:val="none" w:sz="0" w:space="0" w:color="auto"/>
        <w:left w:val="none" w:sz="0" w:space="0" w:color="auto"/>
        <w:bottom w:val="none" w:sz="0" w:space="0" w:color="auto"/>
        <w:right w:val="none" w:sz="0" w:space="0" w:color="auto"/>
      </w:divBdr>
    </w:div>
    <w:div w:id="1287588225">
      <w:bodyDiv w:val="1"/>
      <w:marLeft w:val="0"/>
      <w:marRight w:val="0"/>
      <w:marTop w:val="0"/>
      <w:marBottom w:val="0"/>
      <w:divBdr>
        <w:top w:val="none" w:sz="0" w:space="0" w:color="auto"/>
        <w:left w:val="none" w:sz="0" w:space="0" w:color="auto"/>
        <w:bottom w:val="none" w:sz="0" w:space="0" w:color="auto"/>
        <w:right w:val="none" w:sz="0" w:space="0" w:color="auto"/>
      </w:divBdr>
    </w:div>
    <w:div w:id="1511527015">
      <w:bodyDiv w:val="1"/>
      <w:marLeft w:val="0"/>
      <w:marRight w:val="0"/>
      <w:marTop w:val="0"/>
      <w:marBottom w:val="0"/>
      <w:divBdr>
        <w:top w:val="none" w:sz="0" w:space="0" w:color="auto"/>
        <w:left w:val="none" w:sz="0" w:space="0" w:color="auto"/>
        <w:bottom w:val="none" w:sz="0" w:space="0" w:color="auto"/>
        <w:right w:val="none" w:sz="0" w:space="0" w:color="auto"/>
      </w:divBdr>
    </w:div>
    <w:div w:id="1541866430">
      <w:bodyDiv w:val="1"/>
      <w:marLeft w:val="0"/>
      <w:marRight w:val="0"/>
      <w:marTop w:val="0"/>
      <w:marBottom w:val="0"/>
      <w:divBdr>
        <w:top w:val="none" w:sz="0" w:space="0" w:color="auto"/>
        <w:left w:val="none" w:sz="0" w:space="0" w:color="auto"/>
        <w:bottom w:val="none" w:sz="0" w:space="0" w:color="auto"/>
        <w:right w:val="none" w:sz="0" w:space="0" w:color="auto"/>
      </w:divBdr>
    </w:div>
    <w:div w:id="1931740237">
      <w:bodyDiv w:val="1"/>
      <w:marLeft w:val="0"/>
      <w:marRight w:val="0"/>
      <w:marTop w:val="0"/>
      <w:marBottom w:val="0"/>
      <w:divBdr>
        <w:top w:val="none" w:sz="0" w:space="0" w:color="auto"/>
        <w:left w:val="none" w:sz="0" w:space="0" w:color="auto"/>
        <w:bottom w:val="none" w:sz="0" w:space="0" w:color="auto"/>
        <w:right w:val="none" w:sz="0" w:space="0" w:color="auto"/>
      </w:divBdr>
    </w:div>
    <w:div w:id="198392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IEC@aemo.com.a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6179114B93882F4599E7B427F664EB3F" ma:contentTypeVersion="29" ma:contentTypeDescription="" ma:contentTypeScope="" ma:versionID="08bc8f1c173a66a25f271a8e332362fa">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6</Value>
    </TaxCatchAll>
    <AEMODescription xmlns="a14523ce-dede-483e-883a-2d83261080bd" xsi:nil="true"/>
    <_dlc_DocId xmlns="a14523ce-dede-483e-883a-2d83261080bd">RETAILMARKET-20-56242</_dlc_DocId>
    <_dlc_DocIdUrl xmlns="a14523ce-dede-483e-883a-2d83261080bd">
      <Url>http://sharedocs/sites/rmm/RetD/_layouts/15/DocIdRedir.aspx?ID=RETAILMARKET-20-56242</Url>
      <Description>RETAILMARKET-20-56242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AFE7-FAC6-4BF3-9F08-513C2D4E0F72}">
  <ds:schemaRefs>
    <ds:schemaRef ds:uri="http://schemas.microsoft.com/sharepoint/v3/contenttype/forms"/>
  </ds:schemaRefs>
</ds:datastoreItem>
</file>

<file path=customXml/itemProps2.xml><?xml version="1.0" encoding="utf-8"?>
<ds:datastoreItem xmlns:ds="http://schemas.openxmlformats.org/officeDocument/2006/customXml" ds:itemID="{2FDD9D7D-479B-4521-BE7A-9C7A29FB1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1103B-D7AF-4639-BC6E-2455EDB1F8B5}">
  <ds:schemaRefs>
    <ds:schemaRef ds:uri="Microsoft.SharePoint.Taxonomy.ContentTypeSync"/>
  </ds:schemaRefs>
</ds:datastoreItem>
</file>

<file path=customXml/itemProps4.xml><?xml version="1.0" encoding="utf-8"?>
<ds:datastoreItem xmlns:ds="http://schemas.openxmlformats.org/officeDocument/2006/customXml" ds:itemID="{2160605B-4DA8-410C-9CFA-7F99FEA2B552}">
  <ds:schemaRefs>
    <ds:schemaRef ds:uri="http://schemas.microsoft.com/office/2006/metadata/customXsn"/>
  </ds:schemaRefs>
</ds:datastoreItem>
</file>

<file path=customXml/itemProps5.xml><?xml version="1.0" encoding="utf-8"?>
<ds:datastoreItem xmlns:ds="http://schemas.openxmlformats.org/officeDocument/2006/customXml" ds:itemID="{F2054E78-BA93-4479-B391-98765B4F00E0}">
  <ds:schemaRef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a14523ce-dede-483e-883a-2d83261080bd"/>
  </ds:schemaRefs>
</ds:datastoreItem>
</file>

<file path=customXml/itemProps6.xml><?xml version="1.0" encoding="utf-8"?>
<ds:datastoreItem xmlns:ds="http://schemas.openxmlformats.org/officeDocument/2006/customXml" ds:itemID="{CAAD5ED7-8391-42F8-A57A-3DF4B118B9C9}">
  <ds:schemaRefs>
    <ds:schemaRef ds:uri="http://schemas.microsoft.com/sharepoint/events"/>
  </ds:schemaRefs>
</ds:datastoreItem>
</file>

<file path=customXml/itemProps7.xml><?xml version="1.0" encoding="utf-8"?>
<ds:datastoreItem xmlns:ds="http://schemas.openxmlformats.org/officeDocument/2006/customXml" ds:itemID="{74474100-4D2C-4E38-97A1-47DAB1D0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Carruthers</dc:creator>
  <cp:lastModifiedBy>Gareth Morrah</cp:lastModifiedBy>
  <cp:revision>5</cp:revision>
  <cp:lastPrinted>2017-12-14T21:56:00Z</cp:lastPrinted>
  <dcterms:created xsi:type="dcterms:W3CDTF">2018-12-17T06:47:00Z</dcterms:created>
  <dcterms:modified xsi:type="dcterms:W3CDTF">2018-12-18T23:39:00Z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0x0101009BE89D58CAF0934CA32A20BCFFD353DC006179114B93882F4599E7B427F664EB3F</vt:lpwstr>
  </property>
  <property fmtid="{D5CDD505-2E9C-101B-9397-08002B2CF9AE}" pid="3" name="_dlc_DocIdItemGuid">
    <vt:lpwstr>6647f40d-da30-4019-b8f9-a38777f9815b</vt:lpwstr>
  </property>
  <property fmtid="{D5CDD505-2E9C-101B-9397-08002B2CF9AE}" pid="4" name="AEMODocumentType">
    <vt:lpwstr>6;#Operational Record|859762f2-4462-42eb-9744-c955c7e2c540</vt:lpwstr>
  </property>
  <property fmtid="{D5CDD505-2E9C-101B-9397-08002B2CF9AE}" pid="5" name="AEMOKeywords">
    <vt:lpwstr/>
  </property>
</Properties>
</file>