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3A93" w14:textId="77777777" w:rsidR="00C62FA2" w:rsidRPr="006C1137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cs="Calibri"/>
          <w:sz w:val="20"/>
          <w:szCs w:val="20"/>
        </w:rPr>
      </w:pPr>
    </w:p>
    <w:p w14:paraId="355E1290" w14:textId="77777777" w:rsidR="00C62FA2" w:rsidRPr="006C1137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74FAED3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96B14B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C06CA7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B91CEC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B5C3D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25EC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CEF314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42933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8175D3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35F90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BD00966" w14:textId="3FAB7D08" w:rsidR="009A260E" w:rsidRPr="006C1137" w:rsidRDefault="00F121E8" w:rsidP="00295455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cs="Calibri"/>
          <w:color w:val="ED7D31"/>
          <w:sz w:val="48"/>
          <w:szCs w:val="48"/>
        </w:rPr>
      </w:pPr>
      <w:r>
        <w:rPr>
          <w:rFonts w:cs="Calibri"/>
          <w:color w:val="ED7D31"/>
          <w:sz w:val="48"/>
          <w:szCs w:val="48"/>
        </w:rPr>
        <w:t xml:space="preserve">JULY 2023 REMP </w:t>
      </w:r>
      <w:r w:rsidR="00341A2E">
        <w:rPr>
          <w:rFonts w:cs="Calibri"/>
          <w:color w:val="ED7D31"/>
          <w:sz w:val="48"/>
          <w:szCs w:val="48"/>
        </w:rPr>
        <w:t xml:space="preserve"> </w:t>
      </w:r>
      <w:r w:rsidR="00295455" w:rsidRPr="006C1137">
        <w:rPr>
          <w:rFonts w:cs="Calibri"/>
          <w:color w:val="ED7D31"/>
          <w:sz w:val="48"/>
          <w:szCs w:val="48"/>
        </w:rPr>
        <w:t>CONSULTATION</w:t>
      </w:r>
      <w:r w:rsidR="00B9602A">
        <w:rPr>
          <w:rFonts w:cs="Calibri"/>
          <w:color w:val="ED7D31"/>
          <w:sz w:val="48"/>
          <w:szCs w:val="48"/>
        </w:rPr>
        <w:t xml:space="preserve"> </w:t>
      </w:r>
    </w:p>
    <w:p w14:paraId="77059586" w14:textId="77777777" w:rsidR="001C4CCA" w:rsidRPr="006C1137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cs="Calibri"/>
          <w:color w:val="001F5F"/>
          <w:sz w:val="48"/>
          <w:szCs w:val="48"/>
        </w:rPr>
      </w:pPr>
    </w:p>
    <w:p w14:paraId="2C461F1B" w14:textId="77777777" w:rsidR="001C4CCA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 xml:space="preserve">     </w:t>
      </w:r>
    </w:p>
    <w:p w14:paraId="1924182B" w14:textId="77777777" w:rsidR="00C62FA2" w:rsidRPr="006C1137" w:rsidRDefault="001C4CCA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cs="Calibri"/>
          <w:color w:val="001F5F"/>
          <w:sz w:val="48"/>
          <w:szCs w:val="48"/>
        </w:rPr>
      </w:pPr>
      <w:r w:rsidRPr="006C1137">
        <w:rPr>
          <w:rFonts w:cs="Calibri"/>
          <w:color w:val="001F5F"/>
          <w:sz w:val="48"/>
          <w:szCs w:val="48"/>
        </w:rPr>
        <w:t>PROCEDURE CONSULTATION</w:t>
      </w:r>
    </w:p>
    <w:p w14:paraId="18BFD66E" w14:textId="77777777" w:rsidR="007B3206" w:rsidRPr="006C1137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1F5F"/>
          <w:sz w:val="48"/>
          <w:szCs w:val="48"/>
        </w:rPr>
      </w:pPr>
    </w:p>
    <w:p w14:paraId="12920544" w14:textId="33C7398D" w:rsidR="001C4CCA" w:rsidRPr="006C1137" w:rsidRDefault="00500FF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cs="Calibri"/>
          <w:color w:val="000000"/>
          <w:sz w:val="48"/>
          <w:szCs w:val="48"/>
        </w:rPr>
      </w:pPr>
      <w:r>
        <w:rPr>
          <w:rFonts w:cs="Calibri"/>
          <w:color w:val="001F5F"/>
          <w:sz w:val="48"/>
          <w:szCs w:val="48"/>
        </w:rPr>
        <w:t>SECOND</w:t>
      </w:r>
      <w:r w:rsidR="007B3206" w:rsidRPr="006C1137">
        <w:rPr>
          <w:rFonts w:cs="Calibri"/>
          <w:color w:val="001F5F"/>
          <w:sz w:val="48"/>
          <w:szCs w:val="48"/>
        </w:rPr>
        <w:t xml:space="preserve"> STAGE </w:t>
      </w:r>
      <w:r w:rsidR="001C4CCA" w:rsidRPr="006C1137">
        <w:rPr>
          <w:rFonts w:cs="Calibri"/>
          <w:color w:val="001F5F"/>
          <w:sz w:val="48"/>
          <w:szCs w:val="48"/>
        </w:rPr>
        <w:t xml:space="preserve">PARTICIPANT RESPONSE </w:t>
      </w:r>
      <w:r w:rsidR="007B3206" w:rsidRPr="006C1137">
        <w:rPr>
          <w:rFonts w:cs="Calibri"/>
          <w:color w:val="001F5F"/>
          <w:sz w:val="48"/>
          <w:szCs w:val="48"/>
        </w:rPr>
        <w:t>TEMPLATE</w:t>
      </w:r>
    </w:p>
    <w:p w14:paraId="06E0CA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BB330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0A1FF45" w14:textId="77777777" w:rsidR="00C62FA2" w:rsidRPr="006C1137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color w:val="000000"/>
          <w:sz w:val="24"/>
          <w:szCs w:val="24"/>
        </w:rPr>
      </w:pPr>
    </w:p>
    <w:p w14:paraId="21CABEA1" w14:textId="77777777" w:rsidR="00C62FA2" w:rsidRPr="006C1137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p w14:paraId="79FFE1A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81BD1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i/>
          <w:iCs/>
          <w:color w:val="001F5F"/>
          <w:spacing w:val="-17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Pa</w:t>
      </w:r>
      <w:r w:rsidRPr="006C1137">
        <w:rPr>
          <w:rFonts w:cs="Calibri"/>
          <w:b/>
          <w:bCs/>
          <w:i/>
          <w:iCs/>
          <w:color w:val="001F5F"/>
          <w:spacing w:val="1"/>
          <w:sz w:val="32"/>
          <w:szCs w:val="32"/>
        </w:rPr>
        <w:t>r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tici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p</w:t>
      </w:r>
      <w:r w:rsidRPr="006C1137">
        <w:rPr>
          <w:rFonts w:cs="Calibri"/>
          <w:b/>
          <w:bCs/>
          <w:i/>
          <w:iCs/>
          <w:color w:val="001F5F"/>
          <w:spacing w:val="2"/>
          <w:sz w:val="32"/>
          <w:szCs w:val="32"/>
        </w:rPr>
        <w:t>a</w:t>
      </w:r>
      <w:r w:rsidRPr="006C1137">
        <w:rPr>
          <w:rFonts w:cs="Calibri"/>
          <w:b/>
          <w:bCs/>
          <w:i/>
          <w:iCs/>
          <w:color w:val="001F5F"/>
          <w:sz w:val="32"/>
          <w:szCs w:val="32"/>
        </w:rPr>
        <w:t>n</w:t>
      </w:r>
      <w:r w:rsidRPr="006C1137">
        <w:rPr>
          <w:rFonts w:cs="Calibri"/>
          <w:b/>
          <w:bCs/>
          <w:i/>
          <w:iCs/>
          <w:color w:val="001F5F"/>
          <w:spacing w:val="-1"/>
          <w:sz w:val="32"/>
          <w:szCs w:val="32"/>
        </w:rPr>
        <w:t>t</w:t>
      </w:r>
      <w:r w:rsidRPr="006C1137">
        <w:rPr>
          <w:rFonts w:cs="Calibri"/>
          <w:i/>
          <w:iCs/>
          <w:color w:val="001F5F"/>
          <w:sz w:val="32"/>
          <w:szCs w:val="32"/>
        </w:rPr>
        <w:t>:</w:t>
      </w:r>
      <w:r w:rsidRPr="006C1137">
        <w:rPr>
          <w:rFonts w:cs="Calibri"/>
          <w:i/>
          <w:iCs/>
          <w:color w:val="001F5F"/>
          <w:spacing w:val="-17"/>
          <w:sz w:val="32"/>
          <w:szCs w:val="32"/>
        </w:rPr>
        <w:t xml:space="preserve"> </w:t>
      </w:r>
    </w:p>
    <w:p w14:paraId="543FA59F" w14:textId="77777777" w:rsidR="001C4CCA" w:rsidRPr="006C1137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cs="Calibri"/>
          <w:color w:val="000000"/>
          <w:sz w:val="32"/>
          <w:szCs w:val="32"/>
        </w:rPr>
      </w:pPr>
    </w:p>
    <w:p w14:paraId="28C19A2F" w14:textId="77777777" w:rsidR="00C62FA2" w:rsidRPr="006C1137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14:paraId="2644B340" w14:textId="77777777" w:rsidR="00C62FA2" w:rsidRPr="006C1137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cs="Calibri"/>
          <w:color w:val="000000"/>
          <w:sz w:val="32"/>
          <w:szCs w:val="32"/>
        </w:rPr>
      </w:pPr>
      <w:r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 w:rsidRPr="006C1137">
        <w:rPr>
          <w:rFonts w:cs="Calibri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 w:rsidRPr="006C1137">
        <w:rPr>
          <w:rFonts w:cs="Calibri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 w:rsidRPr="006C1137">
        <w:rPr>
          <w:rFonts w:cs="Calibri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 w:rsidRPr="006C1137">
        <w:rPr>
          <w:rFonts w:cs="Calibri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 w:rsidRPr="006C1137">
        <w:rPr>
          <w:rFonts w:cs="Calibri"/>
          <w:i/>
          <w:iCs/>
          <w:color w:val="001F5F"/>
          <w:position w:val="-1"/>
          <w:sz w:val="32"/>
          <w:szCs w:val="32"/>
        </w:rPr>
        <w:t>:</w:t>
      </w:r>
      <w:r w:rsidR="00C62FA2" w:rsidRPr="006C1137">
        <w:rPr>
          <w:rFonts w:cs="Calibri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49D5E3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3528A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6651D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02F7619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7D25C2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C26DB9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C28B9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1FC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036DA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9236D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4DF4F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BCCB41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FCE56A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E0116E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4094F9F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4407C7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F4159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ECD6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70063E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50667E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1CC8C24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F2913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E3A79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9A10EFD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C8F686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2A63AD5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E2BFA83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836341B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79B258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1BBBF32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AA2CA4A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374CA7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E847F5C" w14:textId="77777777" w:rsidR="00C62FA2" w:rsidRPr="006C1137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C1693FD" w14:textId="77777777" w:rsidR="00C62FA2" w:rsidRPr="006C1137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  <w:color w:val="000000"/>
        </w:rPr>
      </w:pPr>
    </w:p>
    <w:p w14:paraId="593800CA" w14:textId="77777777" w:rsidR="00C62FA2" w:rsidRPr="006C1137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</w:pPr>
    </w:p>
    <w:p w14:paraId="548321D8" w14:textId="77777777" w:rsidR="00E33744" w:rsidRPr="006C1137" w:rsidRDefault="00E33744">
      <w:pPr>
        <w:rPr>
          <w:rFonts w:cs="Calibri"/>
          <w:b/>
          <w:bCs/>
          <w:noProof/>
        </w:rPr>
      </w:pPr>
    </w:p>
    <w:p w14:paraId="45B63ADA" w14:textId="77777777" w:rsidR="008131CE" w:rsidRPr="006C1137" w:rsidRDefault="008131CE">
      <w:pPr>
        <w:rPr>
          <w:rFonts w:cs="Calibri"/>
          <w:b/>
          <w:bCs/>
          <w:noProof/>
        </w:rPr>
      </w:pPr>
    </w:p>
    <w:p w14:paraId="7AFC9FCC" w14:textId="77777777" w:rsidR="00CC381C" w:rsidRPr="006C1137" w:rsidRDefault="00CC381C" w:rsidP="00CC381C">
      <w:pPr>
        <w:pStyle w:val="TOCHeading"/>
        <w:numPr>
          <w:ilvl w:val="0"/>
          <w:numId w:val="0"/>
        </w:numPr>
        <w:rPr>
          <w:rFonts w:ascii="Calibri" w:hAnsi="Calibri" w:cs="Calibri"/>
          <w:color w:val="1F3864"/>
          <w:sz w:val="22"/>
          <w:szCs w:val="22"/>
          <w:lang w:val="en-AU" w:eastAsia="en-AU"/>
        </w:rPr>
      </w:pPr>
    </w:p>
    <w:p w14:paraId="488B56CF" w14:textId="77777777" w:rsidR="008131CE" w:rsidRPr="006C1137" w:rsidRDefault="008131CE" w:rsidP="00CC381C">
      <w:pPr>
        <w:pStyle w:val="TOCHeading"/>
        <w:numPr>
          <w:ilvl w:val="0"/>
          <w:numId w:val="0"/>
        </w:numPr>
        <w:rPr>
          <w:rFonts w:ascii="Calibri" w:hAnsi="Calibri" w:cs="Calibri"/>
        </w:rPr>
      </w:pPr>
      <w:r w:rsidRPr="006C1137">
        <w:rPr>
          <w:rFonts w:ascii="Calibri" w:hAnsi="Calibri" w:cs="Calibri"/>
        </w:rPr>
        <w:t>Table of Contents</w:t>
      </w:r>
    </w:p>
    <w:p w14:paraId="248E2D3A" w14:textId="77777777" w:rsidR="00C6681E" w:rsidRPr="006C1137" w:rsidRDefault="00C6681E" w:rsidP="00C6681E">
      <w:pPr>
        <w:rPr>
          <w:rFonts w:cs="Calibri"/>
          <w:lang w:val="en-US" w:eastAsia="en-US"/>
        </w:rPr>
      </w:pPr>
    </w:p>
    <w:p w14:paraId="3704AB63" w14:textId="345C2504" w:rsidR="00401D2C" w:rsidRDefault="00A23A1E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D6187A">
        <w:instrText>TOC \o "1-1" \h \z \u</w:instrText>
      </w:r>
      <w:r>
        <w:fldChar w:fldCharType="separate"/>
      </w:r>
      <w:hyperlink w:anchor="_Toc146182563" w:history="1">
        <w:r w:rsidR="00401D2C" w:rsidRPr="005F6215">
          <w:rPr>
            <w:rStyle w:val="Hyperlink"/>
            <w:noProof/>
          </w:rPr>
          <w:t>1.</w:t>
        </w:r>
        <w:r w:rsidR="00401D2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401D2C" w:rsidRPr="005F6215">
          <w:rPr>
            <w:rStyle w:val="Hyperlink"/>
            <w:noProof/>
          </w:rPr>
          <w:t>Context</w:t>
        </w:r>
        <w:r w:rsidR="00401D2C">
          <w:rPr>
            <w:noProof/>
            <w:webHidden/>
          </w:rPr>
          <w:tab/>
        </w:r>
        <w:r w:rsidR="00401D2C">
          <w:rPr>
            <w:noProof/>
            <w:webHidden/>
          </w:rPr>
          <w:fldChar w:fldCharType="begin"/>
        </w:r>
        <w:r w:rsidR="00401D2C">
          <w:rPr>
            <w:noProof/>
            <w:webHidden/>
          </w:rPr>
          <w:instrText xml:space="preserve"> PAGEREF _Toc146182563 \h </w:instrText>
        </w:r>
        <w:r w:rsidR="00401D2C">
          <w:rPr>
            <w:noProof/>
            <w:webHidden/>
          </w:rPr>
        </w:r>
        <w:r w:rsidR="00401D2C">
          <w:rPr>
            <w:noProof/>
            <w:webHidden/>
          </w:rPr>
          <w:fldChar w:fldCharType="separate"/>
        </w:r>
        <w:r w:rsidR="00401D2C">
          <w:rPr>
            <w:noProof/>
            <w:webHidden/>
          </w:rPr>
          <w:t>3</w:t>
        </w:r>
        <w:r w:rsidR="00401D2C">
          <w:rPr>
            <w:noProof/>
            <w:webHidden/>
          </w:rPr>
          <w:fldChar w:fldCharType="end"/>
        </w:r>
      </w:hyperlink>
    </w:p>
    <w:p w14:paraId="492FBF71" w14:textId="0F7B513D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4" w:history="1">
        <w:r w:rsidRPr="005F6215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Meter Data File Format Specification NEM12 &amp; NEM13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7D04105" w14:textId="66E0C339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5" w:history="1">
        <w:r w:rsidRPr="005F6215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Metrology Part 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5B3708" w14:textId="4F0A05A3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6" w:history="1">
        <w:r w:rsidRPr="005F6215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Metrology Procedure Part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55AFC0F" w14:textId="35F51BF6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7" w:history="1">
        <w:r w:rsidRPr="005F6215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MSATS Procedures: CATS Procedure Principles and Obligations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E84903B" w14:textId="732D9EE9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8" w:history="1">
        <w:r w:rsidRPr="005F6215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Service Level Procedure Embedded Network Manager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E9E1DE6" w14:textId="7FC60E2E" w:rsidR="00401D2C" w:rsidRDefault="00401D2C">
      <w:pPr>
        <w:pStyle w:val="TOC1"/>
        <w:tabs>
          <w:tab w:val="left" w:pos="440"/>
          <w:tab w:val="righ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46182569" w:history="1">
        <w:r w:rsidRPr="005F6215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Pr="005F6215">
          <w:rPr>
            <w:rStyle w:val="Hyperlink"/>
            <w:noProof/>
          </w:rPr>
          <w:t>Additional Feedback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_Toc146182569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619FB27" w14:textId="32EDBAB3" w:rsidR="00DF227C" w:rsidRPr="00AA749B" w:rsidRDefault="00A23A1E" w:rsidP="0F4A19EF">
      <w:pPr>
        <w:pStyle w:val="TOC1"/>
        <w:tabs>
          <w:tab w:val="right" w:leader="dot" w:pos="10155"/>
          <w:tab w:val="left" w:pos="435"/>
        </w:tabs>
        <w:rPr>
          <w:noProof/>
          <w:color w:val="1F3864" w:themeColor="accent1" w:themeShade="80"/>
        </w:rPr>
      </w:pPr>
      <w:r>
        <w:fldChar w:fldCharType="end"/>
      </w:r>
    </w:p>
    <w:p w14:paraId="12A285FF" w14:textId="6B6E4AFC" w:rsidR="008131CE" w:rsidRPr="006C1137" w:rsidRDefault="008131CE">
      <w:pPr>
        <w:rPr>
          <w:rFonts w:cs="Calibri"/>
        </w:rPr>
      </w:pPr>
    </w:p>
    <w:p w14:paraId="7FFB5171" w14:textId="77777777" w:rsidR="00E33744" w:rsidRPr="006C1137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cs="Calibri"/>
          <w:color w:val="000000"/>
          <w:sz w:val="20"/>
          <w:szCs w:val="20"/>
        </w:rPr>
        <w:sectPr w:rsidR="00E33744" w:rsidRPr="006C1137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677049AB" w14:textId="77777777" w:rsidR="008D6BAC" w:rsidRPr="00937962" w:rsidRDefault="008D6BAC" w:rsidP="008D6BAC">
      <w:pPr>
        <w:pStyle w:val="Heading1"/>
      </w:pPr>
      <w:bookmarkStart w:id="0" w:name="_Toc288746361"/>
      <w:bookmarkStart w:id="1" w:name="_Toc146182563"/>
      <w:r w:rsidRPr="00937962">
        <w:lastRenderedPageBreak/>
        <w:t>Context</w:t>
      </w:r>
      <w:bookmarkEnd w:id="1"/>
    </w:p>
    <w:p w14:paraId="59C71B6E" w14:textId="4052EFFB" w:rsidR="008D6BAC" w:rsidRPr="006C1137" w:rsidRDefault="008D6BAC" w:rsidP="008D6BAC">
      <w:pPr>
        <w:pStyle w:val="TableTitle"/>
        <w:spacing w:before="120" w:after="120"/>
        <w:rPr>
          <w:rFonts w:ascii="Calibri" w:hAnsi="Calibri" w:cs="Calibri"/>
          <w:b w:val="0"/>
          <w:bCs w:val="0"/>
          <w:color w:val="1E4164"/>
          <w:sz w:val="22"/>
          <w:szCs w:val="22"/>
        </w:rPr>
      </w:pP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This template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to assist </w:t>
      </w:r>
      <w:r w:rsidR="00032608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stakeholders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in giving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feedback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about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the changes detailed in the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d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raft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p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rocedures associated </w:t>
      </w:r>
      <w:r w:rsidR="00D22060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with </w:t>
      </w:r>
      <w:r w:rsidR="0010754E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the</w:t>
      </w:r>
      <w:r w:rsidR="00D73BFC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</w:t>
      </w:r>
      <w:r w:rsidR="00F121E8">
        <w:rPr>
          <w:rFonts w:ascii="Calibri" w:hAnsi="Calibri" w:cs="Calibri"/>
          <w:b w:val="0"/>
          <w:bCs w:val="0"/>
          <w:color w:val="1E4164"/>
          <w:sz w:val="22"/>
          <w:szCs w:val="22"/>
        </w:rPr>
        <w:t>July 2023 REMP</w:t>
      </w:r>
      <w:r w:rsidR="00616BF9"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 xml:space="preserve"> consultation</w:t>
      </w:r>
      <w:r w:rsidRPr="0F4A19EF">
        <w:rPr>
          <w:rFonts w:ascii="Calibri" w:hAnsi="Calibri" w:cs="Calibri"/>
          <w:b w:val="0"/>
          <w:bCs w:val="0"/>
          <w:color w:val="1E4164"/>
          <w:sz w:val="22"/>
          <w:szCs w:val="22"/>
        </w:rPr>
        <w:t>.</w:t>
      </w:r>
    </w:p>
    <w:p w14:paraId="0994E5BE" w14:textId="7ECEBBFD" w:rsidR="0008262D" w:rsidRDefault="008D6BAC" w:rsidP="008B08B9">
      <w:pPr>
        <w:pStyle w:val="TableTitle"/>
        <w:spacing w:before="120" w:after="120"/>
        <w:rPr>
          <w:rFonts w:ascii="Calibri" w:hAnsi="Calibri" w:cs="Calibri"/>
          <w:b w:val="0"/>
          <w:color w:val="1E4164"/>
          <w:sz w:val="22"/>
          <w:szCs w:val="22"/>
        </w:rPr>
      </w:pP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The changes </w:t>
      </w:r>
      <w:r w:rsidR="0010754E"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being proposed 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are </w:t>
      </w:r>
      <w:r w:rsidR="00503EDB">
        <w:rPr>
          <w:rFonts w:ascii="Calibri" w:hAnsi="Calibri" w:cs="Calibri"/>
          <w:b w:val="0"/>
          <w:color w:val="1E4164"/>
          <w:sz w:val="22"/>
          <w:szCs w:val="22"/>
        </w:rPr>
        <w:t xml:space="preserve">due to </w:t>
      </w:r>
      <w:r w:rsidR="00343BB3">
        <w:rPr>
          <w:rFonts w:ascii="Calibri" w:hAnsi="Calibri" w:cs="Calibri"/>
          <w:b w:val="0"/>
          <w:color w:val="1E4164"/>
          <w:sz w:val="22"/>
          <w:szCs w:val="22"/>
        </w:rPr>
        <w:t xml:space="preserve">three ICF’s raised through the ERCF and </w:t>
      </w:r>
      <w:r w:rsidR="00EF1DD3">
        <w:rPr>
          <w:rFonts w:ascii="Calibri" w:hAnsi="Calibri" w:cs="Calibri"/>
          <w:b w:val="0"/>
          <w:color w:val="1E4164"/>
          <w:sz w:val="22"/>
          <w:szCs w:val="22"/>
        </w:rPr>
        <w:t xml:space="preserve">an AEMO proposed change, </w:t>
      </w:r>
      <w:r w:rsidR="00853045" w:rsidRPr="006C1137">
        <w:rPr>
          <w:rFonts w:ascii="Calibri" w:hAnsi="Calibri" w:cs="Calibri"/>
          <w:b w:val="0"/>
          <w:color w:val="1E4164"/>
          <w:sz w:val="22"/>
          <w:szCs w:val="22"/>
        </w:rPr>
        <w:t>re</w:t>
      </w:r>
      <w:r w:rsidR="00343BB3">
        <w:rPr>
          <w:rFonts w:ascii="Calibri" w:hAnsi="Calibri" w:cs="Calibri"/>
          <w:b w:val="0"/>
          <w:color w:val="1E4164"/>
          <w:sz w:val="22"/>
          <w:szCs w:val="22"/>
        </w:rPr>
        <w:t>sulting to</w:t>
      </w:r>
      <w:r w:rsidR="00853045" w:rsidRPr="006C1137">
        <w:rPr>
          <w:rFonts w:ascii="Calibri" w:hAnsi="Calibri" w:cs="Calibri"/>
          <w:b w:val="0"/>
          <w:color w:val="1E4164"/>
          <w:sz w:val="22"/>
          <w:szCs w:val="22"/>
        </w:rPr>
        <w:t xml:space="preserve"> changes to AEMO’s Retail Electricity Market Procedures to implement </w:t>
      </w:r>
      <w:r w:rsidR="00EF1DD3">
        <w:rPr>
          <w:rFonts w:ascii="Calibri" w:hAnsi="Calibri" w:cs="Calibri"/>
          <w:b w:val="0"/>
          <w:color w:val="1E4164"/>
          <w:sz w:val="22"/>
          <w:szCs w:val="22"/>
        </w:rPr>
        <w:t xml:space="preserve">the </w:t>
      </w:r>
      <w:r w:rsidR="00853045" w:rsidRPr="006C1137">
        <w:rPr>
          <w:rFonts w:ascii="Calibri" w:hAnsi="Calibri" w:cs="Calibri"/>
          <w:b w:val="0"/>
          <w:color w:val="1E4164"/>
          <w:sz w:val="22"/>
          <w:szCs w:val="22"/>
        </w:rPr>
        <w:t>recommended process improvements</w:t>
      </w:r>
      <w:r w:rsidRPr="006C1137">
        <w:rPr>
          <w:rFonts w:ascii="Calibri" w:hAnsi="Calibri" w:cs="Calibri"/>
          <w:b w:val="0"/>
          <w:color w:val="1E4164"/>
          <w:sz w:val="22"/>
          <w:szCs w:val="22"/>
        </w:rPr>
        <w:t>.</w:t>
      </w:r>
      <w:bookmarkEnd w:id="0"/>
    </w:p>
    <w:p w14:paraId="10CDDB29" w14:textId="77777777" w:rsidR="0018035D" w:rsidRPr="008B08B9" w:rsidRDefault="0018035D" w:rsidP="008B08B9">
      <w:pPr>
        <w:pStyle w:val="TableTitle"/>
        <w:spacing w:before="120" w:after="120"/>
        <w:rPr>
          <w:rFonts w:ascii="Calibri" w:hAnsi="Calibri" w:cs="Calibri"/>
          <w:b w:val="0"/>
          <w:color w:val="1E4164"/>
          <w:sz w:val="22"/>
          <w:szCs w:val="22"/>
        </w:rPr>
      </w:pPr>
    </w:p>
    <w:p w14:paraId="2A226FE8" w14:textId="388C7D6F" w:rsidR="00543A81" w:rsidRDefault="003C7165" w:rsidP="008F3ABD">
      <w:pPr>
        <w:pStyle w:val="Heading1"/>
      </w:pPr>
      <w:bookmarkStart w:id="2" w:name="_Toc146182564"/>
      <w:r w:rsidRPr="00A61995">
        <w:t>M</w:t>
      </w:r>
      <w:r>
        <w:t>eter</w:t>
      </w:r>
      <w:r w:rsidRPr="00A61995">
        <w:t xml:space="preserve"> D</w:t>
      </w:r>
      <w:r>
        <w:t>ata</w:t>
      </w:r>
      <w:r w:rsidRPr="00A61995">
        <w:t xml:space="preserve"> F</w:t>
      </w:r>
      <w:r>
        <w:t>ile</w:t>
      </w:r>
      <w:r w:rsidRPr="00A61995">
        <w:t xml:space="preserve"> F</w:t>
      </w:r>
      <w:r>
        <w:t>ormat</w:t>
      </w:r>
      <w:r w:rsidRPr="00A61995">
        <w:t xml:space="preserve"> S</w:t>
      </w:r>
      <w:r>
        <w:t>pecification</w:t>
      </w:r>
      <w:r w:rsidRPr="00A61995">
        <w:t xml:space="preserve"> NEM12 &amp; NEM13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447"/>
        <w:gridCol w:w="5343"/>
      </w:tblGrid>
      <w:tr w:rsidR="00BA2523" w:rsidRPr="006C1137" w14:paraId="0B7B07D6" w14:textId="77777777" w:rsidTr="00105969">
        <w:trPr>
          <w:tblHeader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7D619" w14:textId="5F818AA1" w:rsidR="00BA2523" w:rsidRPr="006C1137" w:rsidRDefault="00BA2523" w:rsidP="000B67A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4E7589" w14:textId="6AA5E6C0" w:rsidR="00BA2523" w:rsidRPr="006C1137" w:rsidRDefault="00BA2523" w:rsidP="000B67A5">
            <w:pPr>
              <w:keepNext/>
              <w:spacing w:before="120" w:after="120"/>
              <w:outlineLvl w:val="1"/>
              <w:rPr>
                <w:rFonts w:cs="Calibri"/>
                <w:b/>
                <w:bCs/>
                <w:iCs/>
                <w:sz w:val="28"/>
                <w:szCs w:val="28"/>
              </w:rPr>
            </w:pPr>
            <w:r>
              <w:rPr>
                <w:rFonts w:cs="Calibri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FFC024" w14:textId="77777777" w:rsidR="00BA2523" w:rsidRPr="006C1137" w:rsidRDefault="00BA2523" w:rsidP="000B67A5">
            <w:pPr>
              <w:keepNext/>
              <w:spacing w:before="120" w:after="120"/>
              <w:outlineLvl w:val="1"/>
              <w:rPr>
                <w:rFonts w:cs="Calibri"/>
                <w:color w:val="1E4164"/>
              </w:rPr>
            </w:pPr>
            <w:r w:rsidRPr="006C1137">
              <w:rPr>
                <w:rFonts w:cs="Calibri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BA2523" w:rsidRPr="006C1137" w14:paraId="4EE61652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0F9" w14:textId="1A81631C" w:rsidR="00BA2523" w:rsidRPr="006D1A8B" w:rsidRDefault="0083612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FA8" w14:textId="37AB5CFE" w:rsidR="00BA2523" w:rsidRPr="006D1A8B" w:rsidRDefault="0083612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Incorrect Meter Multiplier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6B60" w14:textId="77777777" w:rsidR="00BA2523" w:rsidRPr="006C1137" w:rsidRDefault="00BA2523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BA2523" w:rsidRPr="006C1137" w14:paraId="37CC37FC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9B4" w14:textId="7C984C75" w:rsidR="00BA2523" w:rsidRPr="006D1A8B" w:rsidRDefault="0083612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1F8" w14:textId="473D15E1" w:rsidR="00BA2523" w:rsidRPr="006D1A8B" w:rsidRDefault="0083612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 xml:space="preserve">Addition of </w:t>
            </w:r>
            <w:r w:rsidR="000C2316" w:rsidRPr="006D1A8B">
              <w:rPr>
                <w:b w:val="0"/>
                <w:color w:val="1E4164"/>
                <w:sz w:val="22"/>
                <w:szCs w:val="22"/>
              </w:rPr>
              <w:t>Temporarily Connection Point unmetered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A04C" w14:textId="77777777" w:rsidR="00BA2523" w:rsidRPr="006C1137" w:rsidRDefault="00BA2523" w:rsidP="000B67A5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53659BB8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48CB" w14:textId="05C16C18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E1D" w14:textId="2526411C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Customer By-Pass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B7A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312770D4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1BC" w14:textId="685C899E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CE2" w14:textId="5294BB49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Network By-Pass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9DCD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100633F7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21A" w14:textId="41185561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090" w14:textId="3883DFC3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Transposed Channel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918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3DD08902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B6E2" w14:textId="5D90420E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047" w14:textId="7173FF21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Transposed Channel -  UoM Correction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FE60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394C67B7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6CF" w14:textId="0242E86F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19DB" w14:textId="49EA7636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Transposed Channel – Reverse Polarity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B69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63B9C399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68F" w14:textId="5BDB9987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57E" w14:textId="4A693CBC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Transposed Meter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0FCA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7A25C6CC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EB3" w14:textId="24E0B85C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lastRenderedPageBreak/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6B62" w14:textId="4F1AB89C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Network by-pass extreme weather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4479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  <w:tr w:rsidR="00105969" w:rsidRPr="006C1137" w14:paraId="4982BA0B" w14:textId="77777777" w:rsidTr="00105969"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8F8" w14:textId="5C0D65FB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Appendix E. Reason codes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FE6" w14:textId="635F45AB" w:rsidR="00105969" w:rsidRPr="006D1A8B" w:rsidRDefault="00105969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>Addition of Defined load method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736C" w14:textId="77777777" w:rsidR="00105969" w:rsidRPr="006C1137" w:rsidRDefault="00105969" w:rsidP="00105969">
            <w:pPr>
              <w:spacing w:before="120" w:after="120"/>
              <w:rPr>
                <w:rFonts w:cs="Calibri"/>
                <w:color w:val="1E4164"/>
              </w:rPr>
            </w:pPr>
          </w:p>
        </w:tc>
      </w:tr>
    </w:tbl>
    <w:p w14:paraId="0B67C4B1" w14:textId="77777777" w:rsidR="00FD154E" w:rsidRDefault="00FD154E" w:rsidP="008F3ABD"/>
    <w:p w14:paraId="35BA8B91" w14:textId="71B082E5" w:rsidR="00FC3A43" w:rsidRDefault="00FC3A43" w:rsidP="00783B2B">
      <w:pPr>
        <w:pStyle w:val="Heading1"/>
      </w:pPr>
      <w:bookmarkStart w:id="3" w:name="_Toc27129338"/>
      <w:bookmarkStart w:id="4" w:name="_Toc146182565"/>
      <w:r>
        <w:t>Metrology Part A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FC3A43" w14:paraId="5096BFF8" w14:textId="77777777" w:rsidTr="008240B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2759F5" w14:textId="77777777" w:rsidR="00FC3A43" w:rsidRDefault="00FC3A43" w:rsidP="008240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B2C28D" w14:textId="77777777" w:rsidR="00FC3A43" w:rsidRDefault="00FC3A43" w:rsidP="008240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DE7E0D" w14:textId="77777777" w:rsidR="00FC3A43" w:rsidRDefault="00FC3A43" w:rsidP="008240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C3A43" w14:paraId="4E440826" w14:textId="77777777" w:rsidTr="008240B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101" w14:textId="77777777" w:rsidR="006D1A8B" w:rsidRPr="006D1A8B" w:rsidRDefault="005C6CF0" w:rsidP="006D1A8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 w:rsidRPr="006D1A8B">
              <w:rPr>
                <w:b w:val="0"/>
                <w:color w:val="1E4164"/>
                <w:sz w:val="22"/>
                <w:szCs w:val="22"/>
              </w:rPr>
              <w:t xml:space="preserve">5.2 </w:t>
            </w:r>
            <w:bookmarkStart w:id="5" w:name="_Toc144729568"/>
            <w:r w:rsidR="006D1A8B" w:rsidRPr="006D1A8B">
              <w:rPr>
                <w:b w:val="0"/>
                <w:color w:val="1E4164"/>
                <w:sz w:val="22"/>
                <w:szCs w:val="22"/>
              </w:rPr>
              <w:t>New Metering Installation Summation Arrangements</w:t>
            </w:r>
            <w:bookmarkEnd w:id="5"/>
          </w:p>
          <w:p w14:paraId="424F61B0" w14:textId="33C81781" w:rsidR="00FC3A43" w:rsidRDefault="00FC3A43" w:rsidP="008240BC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798C" w14:textId="43DEC4BA" w:rsidR="00FC3A43" w:rsidRDefault="006D1A8B" w:rsidP="008240BC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new section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D2E" w14:textId="77777777" w:rsidR="00FC3A43" w:rsidRDefault="00FC3A43" w:rsidP="008240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C3A43" w14:paraId="0A0EEEC4" w14:textId="77777777" w:rsidTr="008240BC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CDD" w14:textId="0855BF74" w:rsidR="00FC3A43" w:rsidRDefault="006D1A8B" w:rsidP="008240BC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2.3 Summation Method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E2B4" w14:textId="44417132" w:rsidR="00FC3A43" w:rsidRDefault="006D1A8B" w:rsidP="008240BC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new section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0AF9" w14:textId="77777777" w:rsidR="00FC3A43" w:rsidRDefault="00FC3A43" w:rsidP="008240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35E6BED1" w14:textId="77777777" w:rsidR="00FC3A43" w:rsidRDefault="00FC3A43" w:rsidP="00EA7D05">
      <w:pPr>
        <w:pStyle w:val="Heading1"/>
        <w:numPr>
          <w:ilvl w:val="0"/>
          <w:numId w:val="0"/>
        </w:numPr>
      </w:pPr>
    </w:p>
    <w:p w14:paraId="277D0DA6" w14:textId="50891490" w:rsidR="00F84E1B" w:rsidRDefault="00816B54" w:rsidP="00783B2B">
      <w:pPr>
        <w:pStyle w:val="Heading1"/>
      </w:pPr>
      <w:bookmarkStart w:id="6" w:name="_Toc146182566"/>
      <w:r>
        <w:t>Metrology Procedure Part B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F84E1B" w14:paraId="567B1E0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0432CD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1DCF4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A55A05" w14:textId="77777777" w:rsidR="00F84E1B" w:rsidRDefault="00F84E1B" w:rsidP="00380C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F84E1B" w14:paraId="1ACD532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5BF" w14:textId="43B1F546" w:rsidR="0061072F" w:rsidRPr="00E75ECA" w:rsidRDefault="00A65C90" w:rsidP="0061072F">
            <w:pPr>
              <w:pStyle w:val="Heading2"/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</w:pPr>
            <w:bookmarkStart w:id="7" w:name="_Hlk119573295"/>
            <w:r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 xml:space="preserve">2.6 Summary table of </w:t>
            </w:r>
            <w:proofErr w:type="spellStart"/>
            <w:r>
              <w:rPr>
                <w:rFonts w:ascii="Arial" w:hAnsi="Arial" w:cs="Arial"/>
                <w:b w:val="0"/>
                <w:i w:val="0"/>
                <w:iCs w:val="0"/>
                <w:color w:val="1E4164"/>
                <w:sz w:val="22"/>
                <w:szCs w:val="22"/>
                <w:lang w:eastAsia="en-US"/>
              </w:rPr>
              <w:t>Subtition</w:t>
            </w:r>
            <w:proofErr w:type="spellEnd"/>
          </w:p>
          <w:bookmarkEnd w:id="7"/>
          <w:p w14:paraId="4C3BAC76" w14:textId="025373E5" w:rsidR="00F84E1B" w:rsidRDefault="00F84E1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4A9" w14:textId="77777777" w:rsidR="002F0670" w:rsidRDefault="00E75EC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Edited to include</w:t>
            </w:r>
            <w:r w:rsidR="002F0670">
              <w:rPr>
                <w:b w:val="0"/>
                <w:color w:val="1E4164"/>
                <w:sz w:val="22"/>
                <w:szCs w:val="22"/>
              </w:rPr>
              <w:t>:</w:t>
            </w:r>
          </w:p>
          <w:p w14:paraId="38C78C15" w14:textId="280C9ECC" w:rsidR="002F0670" w:rsidRDefault="002F0670" w:rsidP="002F0670">
            <w:pPr>
              <w:pStyle w:val="TableTitle"/>
              <w:numPr>
                <w:ilvl w:val="0"/>
                <w:numId w:val="14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Rewording of type 14, type </w:t>
            </w:r>
            <w:proofErr w:type="gramStart"/>
            <w:r>
              <w:rPr>
                <w:b w:val="0"/>
                <w:color w:val="1E4164"/>
                <w:sz w:val="22"/>
                <w:szCs w:val="22"/>
              </w:rPr>
              <w:t>15</w:t>
            </w:r>
            <w:proofErr w:type="gramEnd"/>
            <w:r>
              <w:rPr>
                <w:b w:val="0"/>
                <w:color w:val="1E4164"/>
                <w:sz w:val="22"/>
                <w:szCs w:val="22"/>
              </w:rPr>
              <w:t xml:space="preserve"> and type 20</w:t>
            </w:r>
          </w:p>
          <w:p w14:paraId="2441605D" w14:textId="25E9DF24" w:rsidR="00620061" w:rsidRDefault="00620061" w:rsidP="002F0670">
            <w:pPr>
              <w:pStyle w:val="TableTitle"/>
              <w:numPr>
                <w:ilvl w:val="0"/>
                <w:numId w:val="14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Obsoletion of type 16</w:t>
            </w:r>
          </w:p>
          <w:p w14:paraId="2854145E" w14:textId="25154D90" w:rsidR="00F84E1B" w:rsidRDefault="002F0670" w:rsidP="002F0670">
            <w:pPr>
              <w:pStyle w:val="TableTitle"/>
              <w:numPr>
                <w:ilvl w:val="0"/>
                <w:numId w:val="14"/>
              </w:numPr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new</w:t>
            </w:r>
            <w:r w:rsidR="000A407D">
              <w:rPr>
                <w:b w:val="0"/>
                <w:color w:val="1E4164"/>
                <w:sz w:val="22"/>
                <w:szCs w:val="22"/>
              </w:rPr>
              <w:t xml:space="preserve"> substitution types</w:t>
            </w:r>
            <w:r w:rsidR="005F36E5">
              <w:rPr>
                <w:b w:val="0"/>
                <w:color w:val="1E4164"/>
                <w:sz w:val="22"/>
                <w:szCs w:val="22"/>
              </w:rPr>
              <w:t xml:space="preserve"> 22,23,24,25.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2A66" w14:textId="77777777" w:rsidR="00F84E1B" w:rsidRDefault="00F84E1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F84E1B" w14:paraId="09D46E35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583" w14:textId="563BEF97" w:rsidR="00F84E1B" w:rsidRDefault="00C4537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3.2 Substitution types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763" w14:textId="77777777" w:rsidR="00F84E1B" w:rsidRDefault="00B60AF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Edit of substitution types in (f)</w:t>
            </w:r>
          </w:p>
          <w:p w14:paraId="2D40CD97" w14:textId="41443417" w:rsidR="00954E17" w:rsidRDefault="00954E17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(g) (</w:t>
            </w:r>
            <w:proofErr w:type="spellStart"/>
            <w:r>
              <w:rPr>
                <w:b w:val="0"/>
                <w:color w:val="1E4164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color w:val="1E4164"/>
                <w:sz w:val="22"/>
                <w:szCs w:val="22"/>
              </w:rPr>
              <w:t>) and (ii)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DC05" w14:textId="77777777" w:rsidR="00F84E1B" w:rsidRDefault="00F84E1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D0F8F" w14:paraId="71B60CFB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B97" w14:textId="24229335" w:rsidR="00DD0F8F" w:rsidRDefault="004D3C3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3.3.4 Type 14 – Like Day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2C6F" w14:textId="7E05CA03" w:rsidR="00DD0F8F" w:rsidRDefault="004D3C36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Rewording to Type 14 – Retrospective Like Day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6A3A" w14:textId="77777777" w:rsidR="00DD0F8F" w:rsidRDefault="00DD0F8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DD0F8F" w14:paraId="0E9618E9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0D2B" w14:textId="17E08CBB" w:rsidR="00DD0F8F" w:rsidRDefault="00607ED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3.3.5 Type 15 – Average Like Day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A0E" w14:textId="7EC45BC0" w:rsidR="00DD0F8F" w:rsidRDefault="00607ED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Reworded to Type 15 – Retrospective Average Like Day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DBD" w14:textId="77777777" w:rsidR="00DD0F8F" w:rsidRDefault="00DD0F8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3F3B" w14:paraId="78C0D786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49B7" w14:textId="2ACA8EB7" w:rsidR="00273F3B" w:rsidRDefault="00273F3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3.3.6 Type 16 – Agreed Method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94FF" w14:textId="5CBDE020" w:rsidR="00273F3B" w:rsidRDefault="00B5091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Reworded to obsolete </w:t>
            </w:r>
            <w:r w:rsidR="00273F3B">
              <w:rPr>
                <w:b w:val="0"/>
                <w:color w:val="1E4164"/>
                <w:sz w:val="22"/>
                <w:szCs w:val="22"/>
              </w:rPr>
              <w:t xml:space="preserve">Type 16 – Agreed Method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D839" w14:textId="77777777" w:rsidR="00273F3B" w:rsidRDefault="00273F3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3F3B" w14:paraId="57D2D02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47CF" w14:textId="4529765B" w:rsidR="00273F3B" w:rsidRDefault="003E733D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3.3.8 Type 18 – Alternative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BFC" w14:textId="77777777" w:rsidR="00273F3B" w:rsidRDefault="000A01A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Reference for 3.2 (g)(ii) </w:t>
            </w:r>
            <w:proofErr w:type="gramStart"/>
            <w:r>
              <w:rPr>
                <w:b w:val="0"/>
                <w:color w:val="1E4164"/>
                <w:sz w:val="22"/>
                <w:szCs w:val="22"/>
              </w:rPr>
              <w:t>added</w:t>
            </w:r>
            <w:proofErr w:type="gramEnd"/>
          </w:p>
          <w:p w14:paraId="7B8CAD2F" w14:textId="3C901723" w:rsidR="00A16F3C" w:rsidRDefault="00A16F3C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 xml:space="preserve">Addition of (d)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DDF" w14:textId="77777777" w:rsidR="00273F3B" w:rsidRDefault="00273F3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3F3B" w14:paraId="6D870475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D6A7" w14:textId="57158685" w:rsidR="00273F3B" w:rsidRDefault="002111BC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3.3.10 Type 20 – Churn Correction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06D7" w14:textId="77777777" w:rsidR="00273F3B" w:rsidRDefault="00E97493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Rewording to Type 20 – </w:t>
            </w:r>
            <w:proofErr w:type="spellStart"/>
            <w:r>
              <w:rPr>
                <w:b w:val="0"/>
                <w:color w:val="1E4164"/>
                <w:sz w:val="22"/>
                <w:szCs w:val="22"/>
              </w:rPr>
              <w:t>Propsective</w:t>
            </w:r>
            <w:proofErr w:type="spellEnd"/>
            <w:r>
              <w:rPr>
                <w:b w:val="0"/>
                <w:color w:val="1E4164"/>
                <w:sz w:val="22"/>
                <w:szCs w:val="22"/>
              </w:rPr>
              <w:t xml:space="preserve"> Like Day</w:t>
            </w:r>
          </w:p>
          <w:p w14:paraId="75F28D1F" w14:textId="0211A370" w:rsidR="00E97493" w:rsidRDefault="004D7E7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Use d</w:t>
            </w:r>
            <w:r w:rsidR="004E3603">
              <w:rPr>
                <w:b w:val="0"/>
                <w:color w:val="1E4164"/>
                <w:sz w:val="22"/>
                <w:szCs w:val="22"/>
              </w:rPr>
              <w:t xml:space="preserve">efinition </w:t>
            </w:r>
            <w:r>
              <w:rPr>
                <w:b w:val="0"/>
                <w:color w:val="1E4164"/>
                <w:sz w:val="22"/>
                <w:szCs w:val="22"/>
              </w:rPr>
              <w:t>edited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D0E6" w14:textId="77777777" w:rsidR="00273F3B" w:rsidRDefault="00273F3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3F3B" w14:paraId="2838A85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75F" w14:textId="48BC14AB" w:rsidR="00273F3B" w:rsidRDefault="00A0489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3.3.12 Type 22 – Prospective Average Like Day 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A44" w14:textId="77777777" w:rsidR="00273F3B" w:rsidRDefault="00A04899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New Substitution definition </w:t>
            </w:r>
            <w:proofErr w:type="gramStart"/>
            <w:r>
              <w:rPr>
                <w:b w:val="0"/>
                <w:color w:val="1E4164"/>
                <w:sz w:val="22"/>
                <w:szCs w:val="22"/>
              </w:rPr>
              <w:t>added</w:t>
            </w:r>
            <w:proofErr w:type="gramEnd"/>
          </w:p>
          <w:p w14:paraId="0CA2C94F" w14:textId="7352C54A" w:rsidR="00A04899" w:rsidRDefault="009200EB" w:rsidP="009200EB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table 4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8C1A" w14:textId="77777777" w:rsidR="00273F3B" w:rsidRDefault="00273F3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273F3B" w14:paraId="42ACF1AE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7138" w14:textId="6B097299" w:rsidR="00273F3B" w:rsidRDefault="009200E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3.3.13 Type 23 – Previous Year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723" w14:textId="6215D395" w:rsidR="00273F3B" w:rsidRDefault="009200EB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New Substitution definition added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2BB" w14:textId="77777777" w:rsidR="00273F3B" w:rsidRDefault="00273F3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200EB" w14:paraId="6B34AF83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D06" w14:textId="5401ED1E" w:rsidR="009200EB" w:rsidRDefault="00D312A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3.3.14 Type 24 – Data Scaling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F291" w14:textId="3E34ACE2" w:rsidR="009200EB" w:rsidRDefault="00D312A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New Substitution definition added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9A63" w14:textId="77777777" w:rsidR="009200EB" w:rsidRDefault="009200E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200EB" w14:paraId="143E3AB5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E352" w14:textId="7DAF3B72" w:rsidR="009200EB" w:rsidRDefault="00D312A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3.3.15 Type 25 - ADL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93E" w14:textId="05D93FA2" w:rsidR="009200EB" w:rsidRDefault="00D312A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New Substitution definition added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6B18" w14:textId="77777777" w:rsidR="009200EB" w:rsidRDefault="009200E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200EB" w14:paraId="71B504FD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E057" w14:textId="00322DB4" w:rsidR="009200EB" w:rsidRDefault="006B7A0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11.2.1</w:t>
            </w:r>
            <w:r w:rsidR="004274F3">
              <w:rPr>
                <w:b w:val="0"/>
                <w:color w:val="1E4164"/>
                <w:sz w:val="22"/>
                <w:szCs w:val="22"/>
              </w:rPr>
              <w:t xml:space="preserve"> NSW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40F8" w14:textId="0DF11A31" w:rsidR="009200EB" w:rsidRDefault="006B7A04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</w:t>
            </w:r>
            <w:r w:rsidR="006F41F0">
              <w:rPr>
                <w:b w:val="0"/>
                <w:color w:val="1E4164"/>
                <w:sz w:val="22"/>
                <w:szCs w:val="22"/>
              </w:rPr>
              <w:t xml:space="preserve"> amended</w:t>
            </w:r>
            <w:r>
              <w:rPr>
                <w:b w:val="0"/>
                <w:color w:val="1E4164"/>
                <w:sz w:val="22"/>
                <w:szCs w:val="22"/>
              </w:rPr>
              <w:t xml:space="preserve"> to 12</w:t>
            </w:r>
            <w:r w:rsidR="006F41F0">
              <w:rPr>
                <w:b w:val="0"/>
                <w:color w:val="1E4164"/>
                <w:sz w:val="22"/>
                <w:szCs w:val="22"/>
              </w:rPr>
              <w:t>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625B" w14:textId="77777777" w:rsidR="009200EB" w:rsidRDefault="009200E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200EB" w14:paraId="173E9F9D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65CB" w14:textId="37B04AE9" w:rsidR="009200EB" w:rsidRDefault="004274F3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11.2.2 Queensland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7BE" w14:textId="41EB3490" w:rsidR="009200EB" w:rsidRDefault="004274F3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 amended to 12.9.2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C8C" w14:textId="77777777" w:rsidR="009200EB" w:rsidRDefault="009200EB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274F3" w14:paraId="45DC55D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F579" w14:textId="5D151F78" w:rsidR="004274F3" w:rsidRDefault="00265F0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11.2.3 South Australia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1D2A" w14:textId="243EED8C" w:rsidR="004274F3" w:rsidRDefault="00265F0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 amended to 12.9.2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7E9" w14:textId="77777777" w:rsidR="004274F3" w:rsidRDefault="004274F3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4274F3" w14:paraId="3E1B6EB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CA5D" w14:textId="32E4A06C" w:rsidR="004274F3" w:rsidRDefault="00136221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11.3.1 NSW &amp; Queensland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2136" w14:textId="62D94397" w:rsidR="004274F3" w:rsidRDefault="00136221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 amended to 12.9.2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CC6" w14:textId="77777777" w:rsidR="004274F3" w:rsidRDefault="004274F3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36221" w14:paraId="0522905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002" w14:textId="16602929" w:rsidR="00136221" w:rsidRDefault="008C060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11.3.2 South Australia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729" w14:textId="0217D307" w:rsidR="00136221" w:rsidRDefault="008C060A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 amended to 12.9.2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CDD1" w14:textId="77777777" w:rsidR="00136221" w:rsidRDefault="00136221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36221" w14:paraId="1A969A0A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4F72" w14:textId="30B30647" w:rsidR="00136221" w:rsidRDefault="0093086C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lastRenderedPageBreak/>
              <w:t>11.4.1 Net System Load Profile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8B8C" w14:textId="02D48A47" w:rsidR="00136221" w:rsidRDefault="00AC70B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Reference amended to 12.9.2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07A" w14:textId="77777777" w:rsidR="00136221" w:rsidRDefault="00136221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36221" w14:paraId="7CDEEDFA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2E0" w14:textId="2D21E089" w:rsidR="00136221" w:rsidRDefault="00AC70B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11.4.2 Floor Value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88F4" w14:textId="63B2B22D" w:rsidR="00136221" w:rsidRDefault="00AC70B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Addition of new section </w:t>
            </w:r>
            <w:r w:rsidR="0071170F">
              <w:rPr>
                <w:b w:val="0"/>
                <w:color w:val="1E4164"/>
                <w:sz w:val="22"/>
                <w:szCs w:val="22"/>
              </w:rPr>
              <w:t>in respect to the NSLP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E2F7" w14:textId="77777777" w:rsidR="00136221" w:rsidRDefault="00136221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1170F" w14:paraId="66D5E3DF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837B" w14:textId="76889E4D" w:rsidR="0071170F" w:rsidRDefault="0071170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11.4.3 NSLP TI values below floor value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FA7F" w14:textId="1A69B0DC" w:rsidR="0071170F" w:rsidRDefault="0071170F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Addition of new section in respect to the NSLP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BACA" w14:textId="77777777" w:rsidR="0071170F" w:rsidRDefault="0071170F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933EFE" w14:paraId="4BA8E3E2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62BE" w14:textId="15DBDB54" w:rsidR="00933EFE" w:rsidRDefault="00933EFE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11.5 </w:t>
            </w:r>
            <w:proofErr w:type="spellStart"/>
            <w:r>
              <w:rPr>
                <w:b w:val="0"/>
                <w:color w:val="1E4164"/>
                <w:sz w:val="22"/>
                <w:szCs w:val="22"/>
              </w:rPr>
              <w:t>Accumluation</w:t>
            </w:r>
            <w:proofErr w:type="spellEnd"/>
            <w:r>
              <w:rPr>
                <w:b w:val="0"/>
                <w:color w:val="1E4164"/>
                <w:sz w:val="22"/>
                <w:szCs w:val="22"/>
              </w:rPr>
              <w:t xml:space="preserve"> Meter Profiler – Net System Load Profile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0E96" w14:textId="77777777" w:rsidR="00933EFE" w:rsidRDefault="00933EFE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 xml:space="preserve">Amended of </w:t>
            </w:r>
            <w:r w:rsidR="009F6E88">
              <w:rPr>
                <w:b w:val="0"/>
                <w:color w:val="1E4164"/>
                <w:sz w:val="22"/>
                <w:szCs w:val="22"/>
              </w:rPr>
              <w:t>reference to 12.9.2 in (a)</w:t>
            </w:r>
          </w:p>
          <w:p w14:paraId="7663DD80" w14:textId="60DE9398" w:rsidR="009F6E88" w:rsidRDefault="009F6E88" w:rsidP="00380C5A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Amended of reference to 11.4 in (c)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6677" w14:textId="77777777" w:rsidR="00933EFE" w:rsidRDefault="00933EFE" w:rsidP="00380C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4209335C" w14:textId="77777777" w:rsidR="00F84E1B" w:rsidRPr="00F84E1B" w:rsidRDefault="00F84E1B" w:rsidP="00F84E1B"/>
    <w:p w14:paraId="48E5BC79" w14:textId="6099F348" w:rsidR="00783B2B" w:rsidRDefault="00783B2B" w:rsidP="00783B2B">
      <w:pPr>
        <w:pStyle w:val="Heading1"/>
      </w:pPr>
      <w:bookmarkStart w:id="8" w:name="_Toc146182567"/>
      <w:r>
        <w:rPr>
          <w:rFonts w:hint="eastAsia"/>
        </w:rPr>
        <w:t>MSATS Procedures: CATS Procedure Principles and Obligations</w:t>
      </w:r>
      <w:bookmarkEnd w:id="3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4006"/>
        <w:gridCol w:w="8289"/>
      </w:tblGrid>
      <w:tr w:rsidR="0016565A" w14:paraId="03A8EED9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833293" w14:textId="77777777" w:rsidR="0016565A" w:rsidRDefault="001656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37DF2F" w14:textId="77777777" w:rsidR="0016565A" w:rsidRDefault="001656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9E73C" w14:textId="77777777" w:rsidR="0016565A" w:rsidRDefault="0016565A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16565A" w14:paraId="3B478DB0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ACAA" w14:textId="0212AF40" w:rsidR="0016565A" w:rsidRDefault="00973E43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16.2 Participant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137" w14:textId="64BE0E99" w:rsidR="00012954" w:rsidRPr="00D22A74" w:rsidRDefault="00973E43" w:rsidP="00973E43">
            <w:pPr>
              <w:pStyle w:val="ListA0"/>
              <w:numPr>
                <w:ilvl w:val="0"/>
                <w:numId w:val="0"/>
              </w:numPr>
              <w:rPr>
                <w:rFonts w:ascii="Arial" w:hAnsi="Arial" w:cs="Arial"/>
                <w:color w:val="1F3864" w:themeColor="accent1" w:themeShade="80"/>
                <w:sz w:val="22"/>
              </w:rPr>
            </w:pPr>
            <w:r>
              <w:rPr>
                <w:rFonts w:ascii="Arial" w:hAnsi="Arial" w:cs="Arial"/>
                <w:color w:val="1F3864" w:themeColor="accent1" w:themeShade="80"/>
                <w:sz w:val="22"/>
              </w:rPr>
              <w:t>Removal of (h)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A24F" w14:textId="77777777" w:rsidR="0016565A" w:rsidRDefault="001656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16565A" w14:paraId="7A120267" w14:textId="77777777" w:rsidTr="0053779E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5A4" w14:textId="377D65BE" w:rsidR="0016565A" w:rsidRDefault="00973E43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16.2 Participant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C8CE" w14:textId="4453C56A" w:rsidR="00622449" w:rsidRDefault="00622449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Rewording of (</w:t>
            </w:r>
            <w:proofErr w:type="spellStart"/>
            <w:r>
              <w:rPr>
                <w:b w:val="0"/>
                <w:color w:val="1E4164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color w:val="1E4164"/>
                <w:sz w:val="22"/>
                <w:szCs w:val="22"/>
              </w:rPr>
              <w:t>)</w:t>
            </w:r>
          </w:p>
          <w:p w14:paraId="6D7D66B1" w14:textId="37C75356" w:rsidR="0016565A" w:rsidRDefault="00D65D00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Removal of (</w:t>
            </w:r>
            <w:proofErr w:type="spellStart"/>
            <w:r>
              <w:rPr>
                <w:b w:val="0"/>
                <w:color w:val="1E4164"/>
                <w:sz w:val="22"/>
                <w:szCs w:val="22"/>
              </w:rPr>
              <w:t>i</w:t>
            </w:r>
            <w:proofErr w:type="spellEnd"/>
            <w:r>
              <w:rPr>
                <w:b w:val="0"/>
                <w:color w:val="1E4164"/>
                <w:sz w:val="22"/>
                <w:szCs w:val="22"/>
              </w:rPr>
              <w:t>) (ii)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86B6" w14:textId="77777777" w:rsidR="0016565A" w:rsidRDefault="0016565A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65054254" w14:textId="79761BAC" w:rsidR="00A7765A" w:rsidRDefault="00A7765A" w:rsidP="008F3ABD"/>
    <w:p w14:paraId="19F5C958" w14:textId="4F65BD3F" w:rsidR="00760596" w:rsidRDefault="00D15B91" w:rsidP="00907DD9">
      <w:pPr>
        <w:pStyle w:val="Heading1"/>
      </w:pPr>
      <w:bookmarkStart w:id="9" w:name="_Toc146182568"/>
      <w:r>
        <w:lastRenderedPageBreak/>
        <w:t>Service Level Procedure</w:t>
      </w:r>
      <w:r w:rsidR="00FB7F18">
        <w:t xml:space="preserve"> Embedded Network Manager Service</w:t>
      </w:r>
      <w:bookmarkEnd w:id="9"/>
      <w:r w:rsidR="00FB7F18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882"/>
        <w:gridCol w:w="8292"/>
      </w:tblGrid>
      <w:tr w:rsidR="006A167A" w14:paraId="57FDC589" w14:textId="77777777" w:rsidTr="00401D2C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E94164" w14:textId="77777777" w:rsidR="006A167A" w:rsidRDefault="006A167A" w:rsidP="00312E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Section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7E6BBF" w14:textId="77777777" w:rsidR="006A167A" w:rsidRDefault="006A167A" w:rsidP="00312E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Description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87718" w14:textId="77777777" w:rsidR="006A167A" w:rsidRDefault="006A167A" w:rsidP="00312E9F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6A167A" w14:paraId="34FD0FBA" w14:textId="77777777" w:rsidTr="00401D2C"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EF50" w14:textId="1D6454E4" w:rsidR="006A167A" w:rsidRDefault="00401D2C" w:rsidP="00312E9F">
            <w:pPr>
              <w:pStyle w:val="TableTitle"/>
              <w:spacing w:before="120" w:after="120"/>
              <w:rPr>
                <w:b w:val="0"/>
                <w:color w:val="1E4164"/>
                <w:sz w:val="22"/>
                <w:szCs w:val="22"/>
              </w:rPr>
            </w:pPr>
            <w:r>
              <w:rPr>
                <w:b w:val="0"/>
                <w:color w:val="1E4164"/>
                <w:sz w:val="22"/>
                <w:szCs w:val="22"/>
              </w:rPr>
              <w:t>4.2.1 Overview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A208" w14:textId="49DCD529" w:rsidR="006A167A" w:rsidRPr="001348B9" w:rsidRDefault="00401D2C" w:rsidP="00312E9F">
            <w:pPr>
              <w:pStyle w:val="TableTitle"/>
              <w:spacing w:before="120" w:after="120"/>
              <w:rPr>
                <w:b w:val="0"/>
                <w:bCs w:val="0"/>
                <w:color w:val="1E4164"/>
                <w:sz w:val="22"/>
                <w:szCs w:val="22"/>
              </w:rPr>
            </w:pPr>
            <w:r>
              <w:rPr>
                <w:b w:val="0"/>
                <w:bCs w:val="0"/>
                <w:color w:val="1E4164"/>
                <w:sz w:val="22"/>
                <w:szCs w:val="22"/>
              </w:rPr>
              <w:t>Removal of (f)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22C" w14:textId="77777777" w:rsidR="006A167A" w:rsidRDefault="006A167A" w:rsidP="00312E9F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0053161E" w14:textId="77777777" w:rsidR="00AC778E" w:rsidRDefault="00AC778E" w:rsidP="00AC778E"/>
    <w:p w14:paraId="2199C469" w14:textId="4F7492DE" w:rsidR="0004599D" w:rsidRDefault="0004599D" w:rsidP="0004599D">
      <w:pPr>
        <w:pStyle w:val="Heading1"/>
      </w:pPr>
      <w:bookmarkStart w:id="10" w:name="_Toc146182569"/>
      <w:r>
        <w:t>Additional Feedback</w:t>
      </w:r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0"/>
      </w:tblGrid>
      <w:tr w:rsidR="0004599D" w14:paraId="5B9B9FF6" w14:textId="77777777" w:rsidTr="000459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C29A07" w14:textId="77777777" w:rsidR="0004599D" w:rsidRDefault="0004599D" w:rsidP="008240BC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Participant Comments</w:t>
            </w:r>
          </w:p>
        </w:tc>
      </w:tr>
      <w:tr w:rsidR="0004599D" w14:paraId="0CC5E7DB" w14:textId="77777777" w:rsidTr="000459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CD5" w14:textId="77777777" w:rsidR="0004599D" w:rsidRDefault="0004599D" w:rsidP="008240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4599D" w14:paraId="78729C4A" w14:textId="77777777" w:rsidTr="000459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85A" w14:textId="77777777" w:rsidR="0004599D" w:rsidRDefault="0004599D" w:rsidP="008240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04599D" w14:paraId="2770EDCF" w14:textId="77777777" w:rsidTr="0004599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AF7B" w14:textId="77777777" w:rsidR="0004599D" w:rsidRDefault="0004599D" w:rsidP="008240BC">
            <w:pPr>
              <w:spacing w:before="120" w:after="120"/>
              <w:rPr>
                <w:rFonts w:cs="Arial"/>
                <w:color w:val="1E4164"/>
              </w:rPr>
            </w:pPr>
          </w:p>
        </w:tc>
      </w:tr>
    </w:tbl>
    <w:p w14:paraId="12DF81A1" w14:textId="77777777" w:rsidR="0004599D" w:rsidRPr="00AC778E" w:rsidRDefault="0004599D" w:rsidP="00AC778E"/>
    <w:sectPr w:rsidR="0004599D" w:rsidRPr="00AC778E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3FFB" w14:textId="77777777" w:rsidR="00B256FE" w:rsidRDefault="00B256FE">
      <w:pPr>
        <w:spacing w:after="0" w:line="240" w:lineRule="auto"/>
      </w:pPr>
      <w:r>
        <w:separator/>
      </w:r>
    </w:p>
  </w:endnote>
  <w:endnote w:type="continuationSeparator" w:id="0">
    <w:p w14:paraId="767C5748" w14:textId="77777777" w:rsidR="00B256FE" w:rsidRDefault="00B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C5E8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26483232" w14:textId="77777777" w:rsidR="00CF6301" w:rsidRPr="00CF2090" w:rsidRDefault="00CF6301" w:rsidP="002F7A2B">
    <w:pPr>
      <w:pStyle w:val="Footer"/>
    </w:pPr>
    <w:r>
      <w:t>Procedure 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34220">
      <w:rPr>
        <w:noProof/>
      </w:rPr>
      <w:t>9</w:t>
    </w:r>
    <w:r>
      <w:rPr>
        <w:noProof/>
      </w:rPr>
      <w:fldChar w:fldCharType="end"/>
    </w:r>
    <w:r w:rsidRPr="00CF2090">
      <w:t xml:space="preserve"> of </w:t>
    </w:r>
    <w:r>
      <w:fldChar w:fldCharType="begin"/>
    </w:r>
    <w:r>
      <w:instrText>NUMPAGES</w:instrText>
    </w:r>
    <w:r>
      <w:fldChar w:fldCharType="separate"/>
    </w:r>
    <w:r w:rsidR="00134220">
      <w:rPr>
        <w:noProof/>
      </w:rPr>
      <w:t>9</w:t>
    </w:r>
    <w:r>
      <w:fldChar w:fldCharType="end"/>
    </w:r>
  </w:p>
  <w:p w14:paraId="3ABA64A2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B220" w14:textId="77777777" w:rsidR="00B256FE" w:rsidRDefault="00B256FE">
      <w:pPr>
        <w:spacing w:after="0" w:line="240" w:lineRule="auto"/>
      </w:pPr>
      <w:r>
        <w:separator/>
      </w:r>
    </w:p>
  </w:footnote>
  <w:footnote w:type="continuationSeparator" w:id="0">
    <w:p w14:paraId="497D41F0" w14:textId="77777777" w:rsidR="00B256FE" w:rsidRDefault="00B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6D42" w14:textId="77777777" w:rsidR="009A260E" w:rsidRDefault="009A260E">
    <w:pPr>
      <w:pStyle w:val="Header"/>
    </w:pPr>
  </w:p>
  <w:p w14:paraId="1EFF1E66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A34E" w14:textId="77777777" w:rsidR="00CF6301" w:rsidRDefault="00640167" w:rsidP="008131CE">
    <w:pPr>
      <w:pStyle w:val="Header"/>
      <w:pBdr>
        <w:bottom w:val="single" w:sz="6" w:space="1" w:color="auto"/>
      </w:pBdr>
    </w:pPr>
    <w:r w:rsidRPr="00640167">
      <w:t>Metering Procedure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587"/>
    <w:multiLevelType w:val="hybridMultilevel"/>
    <w:tmpl w:val="3C60BE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2" w15:restartNumberingAfterBreak="0">
    <w:nsid w:val="19EF14CB"/>
    <w:multiLevelType w:val="hybridMultilevel"/>
    <w:tmpl w:val="E906186C"/>
    <w:lvl w:ilvl="0" w:tplc="FFFFFFFF">
      <w:start w:val="1"/>
      <w:numFmt w:val="lowerLetter"/>
      <w:lvlText w:val="(%1)"/>
      <w:lvlJc w:val="left"/>
      <w:pPr>
        <w:ind w:left="402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122" w:hanging="360"/>
      </w:pPr>
    </w:lvl>
    <w:lvl w:ilvl="2" w:tplc="FFFFFFFF">
      <w:start w:val="1"/>
      <w:numFmt w:val="lowerRoman"/>
      <w:lvlText w:val="%3."/>
      <w:lvlJc w:val="right"/>
      <w:pPr>
        <w:ind w:left="1842" w:hanging="180"/>
      </w:pPr>
    </w:lvl>
    <w:lvl w:ilvl="3" w:tplc="FB324CA4">
      <w:start w:val="1"/>
      <w:numFmt w:val="lowerLetter"/>
      <w:lvlText w:val="(%4)"/>
      <w:lvlJc w:val="left"/>
      <w:pPr>
        <w:ind w:left="25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82" w:hanging="360"/>
      </w:pPr>
    </w:lvl>
    <w:lvl w:ilvl="5" w:tplc="FFFFFFFF" w:tentative="1">
      <w:start w:val="1"/>
      <w:numFmt w:val="lowerRoman"/>
      <w:lvlText w:val="%6."/>
      <w:lvlJc w:val="right"/>
      <w:pPr>
        <w:ind w:left="4002" w:hanging="180"/>
      </w:pPr>
    </w:lvl>
    <w:lvl w:ilvl="6" w:tplc="FFFFFFFF" w:tentative="1">
      <w:start w:val="1"/>
      <w:numFmt w:val="decimal"/>
      <w:lvlText w:val="%7."/>
      <w:lvlJc w:val="left"/>
      <w:pPr>
        <w:ind w:left="4722" w:hanging="360"/>
      </w:pPr>
    </w:lvl>
    <w:lvl w:ilvl="7" w:tplc="FFFFFFFF" w:tentative="1">
      <w:start w:val="1"/>
      <w:numFmt w:val="lowerLetter"/>
      <w:lvlText w:val="%8."/>
      <w:lvlJc w:val="left"/>
      <w:pPr>
        <w:ind w:left="5442" w:hanging="360"/>
      </w:pPr>
    </w:lvl>
    <w:lvl w:ilvl="8" w:tplc="FFFFFFFF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 w15:restartNumberingAfterBreak="0">
    <w:nsid w:val="245917BD"/>
    <w:multiLevelType w:val="hybridMultilevel"/>
    <w:tmpl w:val="D1C89E74"/>
    <w:lvl w:ilvl="0" w:tplc="A0E60C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C48CD"/>
    <w:multiLevelType w:val="hybridMultilevel"/>
    <w:tmpl w:val="3B849A54"/>
    <w:lvl w:ilvl="0" w:tplc="10BA32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EFAB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ED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C3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24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2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FAC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9E7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8E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B629F"/>
    <w:multiLevelType w:val="multilevel"/>
    <w:tmpl w:val="B00EAE04"/>
    <w:lvl w:ilvl="0">
      <w:start w:val="1"/>
      <w:numFmt w:val="decimal"/>
      <w:pStyle w:val="CaptionTable"/>
      <w:lvlText w:val="Table %1"/>
      <w:lvlJc w:val="left"/>
      <w:pPr>
        <w:tabs>
          <w:tab w:val="num" w:pos="5670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318C5B1"/>
    <w:multiLevelType w:val="multilevel"/>
    <w:tmpl w:val="5438709E"/>
    <w:lvl w:ilvl="0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0CB"/>
    <w:multiLevelType w:val="hybridMultilevel"/>
    <w:tmpl w:val="31AE4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96BFA"/>
    <w:multiLevelType w:val="multilevel"/>
    <w:tmpl w:val="6F6056BE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5920582">
    <w:abstractNumId w:val="4"/>
  </w:num>
  <w:num w:numId="2" w16cid:durableId="338001740">
    <w:abstractNumId w:val="1"/>
  </w:num>
  <w:num w:numId="3" w16cid:durableId="41097103">
    <w:abstractNumId w:val="3"/>
  </w:num>
  <w:num w:numId="4" w16cid:durableId="963393239">
    <w:abstractNumId w:val="0"/>
  </w:num>
  <w:num w:numId="5" w16cid:durableId="1767994462">
    <w:abstractNumId w:val="6"/>
  </w:num>
  <w:num w:numId="6" w16cid:durableId="569001932">
    <w:abstractNumId w:val="3"/>
  </w:num>
  <w:num w:numId="7" w16cid:durableId="535585240">
    <w:abstractNumId w:val="3"/>
    <w:lvlOverride w:ilvl="0">
      <w:startOverride w:val="1"/>
    </w:lvlOverride>
  </w:num>
  <w:num w:numId="8" w16cid:durableId="1965498896">
    <w:abstractNumId w:val="3"/>
  </w:num>
  <w:num w:numId="9" w16cid:durableId="1898517076">
    <w:abstractNumId w:val="8"/>
  </w:num>
  <w:num w:numId="10" w16cid:durableId="782069413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5210121">
    <w:abstractNumId w:val="8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5561263">
    <w:abstractNumId w:val="5"/>
  </w:num>
  <w:num w:numId="13" w16cid:durableId="1290627010">
    <w:abstractNumId w:val="2"/>
  </w:num>
  <w:num w:numId="14" w16cid:durableId="1423838353">
    <w:abstractNumId w:val="7"/>
  </w:num>
  <w:num w:numId="15" w16cid:durableId="962808870">
    <w:abstractNumId w:val="1"/>
  </w:num>
  <w:num w:numId="16" w16cid:durableId="303044783">
    <w:abstractNumId w:val="1"/>
  </w:num>
  <w:num w:numId="17" w16cid:durableId="1995909569">
    <w:abstractNumId w:val="3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1216F"/>
    <w:rsid w:val="00012954"/>
    <w:rsid w:val="000247C6"/>
    <w:rsid w:val="000272C2"/>
    <w:rsid w:val="00030C40"/>
    <w:rsid w:val="00032608"/>
    <w:rsid w:val="000379D2"/>
    <w:rsid w:val="000450D6"/>
    <w:rsid w:val="0004599D"/>
    <w:rsid w:val="00055713"/>
    <w:rsid w:val="00055D38"/>
    <w:rsid w:val="00062818"/>
    <w:rsid w:val="00070529"/>
    <w:rsid w:val="00071A65"/>
    <w:rsid w:val="000756C5"/>
    <w:rsid w:val="000770C3"/>
    <w:rsid w:val="0008262D"/>
    <w:rsid w:val="00085952"/>
    <w:rsid w:val="000872A1"/>
    <w:rsid w:val="0009576F"/>
    <w:rsid w:val="00097398"/>
    <w:rsid w:val="000A01A8"/>
    <w:rsid w:val="000A1874"/>
    <w:rsid w:val="000A407D"/>
    <w:rsid w:val="000A44EC"/>
    <w:rsid w:val="000A69C0"/>
    <w:rsid w:val="000B2F70"/>
    <w:rsid w:val="000B409D"/>
    <w:rsid w:val="000C2316"/>
    <w:rsid w:val="000C4182"/>
    <w:rsid w:val="000C78E2"/>
    <w:rsid w:val="000D6BEB"/>
    <w:rsid w:val="000E25C5"/>
    <w:rsid w:val="000E5036"/>
    <w:rsid w:val="000E59DD"/>
    <w:rsid w:val="000F32EF"/>
    <w:rsid w:val="001002C2"/>
    <w:rsid w:val="00101554"/>
    <w:rsid w:val="00103ECF"/>
    <w:rsid w:val="00105969"/>
    <w:rsid w:val="00106E02"/>
    <w:rsid w:val="0010754E"/>
    <w:rsid w:val="00117617"/>
    <w:rsid w:val="00124B25"/>
    <w:rsid w:val="00134220"/>
    <w:rsid w:val="001348B9"/>
    <w:rsid w:val="00135569"/>
    <w:rsid w:val="00136221"/>
    <w:rsid w:val="00144769"/>
    <w:rsid w:val="00152F25"/>
    <w:rsid w:val="00164FC9"/>
    <w:rsid w:val="001654CB"/>
    <w:rsid w:val="0016565A"/>
    <w:rsid w:val="001720B4"/>
    <w:rsid w:val="00177196"/>
    <w:rsid w:val="0017755A"/>
    <w:rsid w:val="0018035D"/>
    <w:rsid w:val="0018323F"/>
    <w:rsid w:val="00183FAD"/>
    <w:rsid w:val="0019191C"/>
    <w:rsid w:val="0019276B"/>
    <w:rsid w:val="00193911"/>
    <w:rsid w:val="00194969"/>
    <w:rsid w:val="001A16B6"/>
    <w:rsid w:val="001A2989"/>
    <w:rsid w:val="001A39CB"/>
    <w:rsid w:val="001A3E53"/>
    <w:rsid w:val="001B26C6"/>
    <w:rsid w:val="001B3A3F"/>
    <w:rsid w:val="001B4885"/>
    <w:rsid w:val="001B7873"/>
    <w:rsid w:val="001C1FBB"/>
    <w:rsid w:val="001C3741"/>
    <w:rsid w:val="001C4CCA"/>
    <w:rsid w:val="001C7FD0"/>
    <w:rsid w:val="001D20DF"/>
    <w:rsid w:val="001D405F"/>
    <w:rsid w:val="001D7504"/>
    <w:rsid w:val="001E2F48"/>
    <w:rsid w:val="001E7027"/>
    <w:rsid w:val="001F1025"/>
    <w:rsid w:val="001F50BD"/>
    <w:rsid w:val="001F6570"/>
    <w:rsid w:val="00201ED7"/>
    <w:rsid w:val="00204025"/>
    <w:rsid w:val="002111BC"/>
    <w:rsid w:val="0021347D"/>
    <w:rsid w:val="002227B8"/>
    <w:rsid w:val="00224197"/>
    <w:rsid w:val="00225F0E"/>
    <w:rsid w:val="00230A66"/>
    <w:rsid w:val="00231433"/>
    <w:rsid w:val="00232384"/>
    <w:rsid w:val="00233C59"/>
    <w:rsid w:val="0023507E"/>
    <w:rsid w:val="002402B2"/>
    <w:rsid w:val="00241301"/>
    <w:rsid w:val="00243E58"/>
    <w:rsid w:val="00244008"/>
    <w:rsid w:val="00244B8B"/>
    <w:rsid w:val="0025000B"/>
    <w:rsid w:val="0026066F"/>
    <w:rsid w:val="00260F85"/>
    <w:rsid w:val="00265F0A"/>
    <w:rsid w:val="00270564"/>
    <w:rsid w:val="00273549"/>
    <w:rsid w:val="00273F3B"/>
    <w:rsid w:val="00275E64"/>
    <w:rsid w:val="00276151"/>
    <w:rsid w:val="00281FF9"/>
    <w:rsid w:val="002929A4"/>
    <w:rsid w:val="0029406F"/>
    <w:rsid w:val="00295455"/>
    <w:rsid w:val="00296766"/>
    <w:rsid w:val="002A7D23"/>
    <w:rsid w:val="002B136D"/>
    <w:rsid w:val="002B139E"/>
    <w:rsid w:val="002B1C47"/>
    <w:rsid w:val="002C22B2"/>
    <w:rsid w:val="002D224B"/>
    <w:rsid w:val="002D4AE5"/>
    <w:rsid w:val="002D70AE"/>
    <w:rsid w:val="002E023E"/>
    <w:rsid w:val="002E0A1A"/>
    <w:rsid w:val="002E3356"/>
    <w:rsid w:val="002E34EF"/>
    <w:rsid w:val="002E5779"/>
    <w:rsid w:val="002E63AF"/>
    <w:rsid w:val="002E7A1B"/>
    <w:rsid w:val="002F0670"/>
    <w:rsid w:val="002F0860"/>
    <w:rsid w:val="002F2D5D"/>
    <w:rsid w:val="002F70DC"/>
    <w:rsid w:val="002F7A2B"/>
    <w:rsid w:val="00304765"/>
    <w:rsid w:val="00310786"/>
    <w:rsid w:val="003147EB"/>
    <w:rsid w:val="003169FC"/>
    <w:rsid w:val="00320F48"/>
    <w:rsid w:val="00322FC3"/>
    <w:rsid w:val="0032534A"/>
    <w:rsid w:val="0033342E"/>
    <w:rsid w:val="00335E96"/>
    <w:rsid w:val="00341A2E"/>
    <w:rsid w:val="00343BB3"/>
    <w:rsid w:val="00346C18"/>
    <w:rsid w:val="003643DF"/>
    <w:rsid w:val="003814E5"/>
    <w:rsid w:val="0038159F"/>
    <w:rsid w:val="00383589"/>
    <w:rsid w:val="003868BC"/>
    <w:rsid w:val="00387B59"/>
    <w:rsid w:val="003964BF"/>
    <w:rsid w:val="003A0997"/>
    <w:rsid w:val="003A1905"/>
    <w:rsid w:val="003A3033"/>
    <w:rsid w:val="003B0EA1"/>
    <w:rsid w:val="003B2F5B"/>
    <w:rsid w:val="003B65DD"/>
    <w:rsid w:val="003C66E9"/>
    <w:rsid w:val="003C6EA8"/>
    <w:rsid w:val="003C7165"/>
    <w:rsid w:val="003D2EB8"/>
    <w:rsid w:val="003D54EF"/>
    <w:rsid w:val="003D57A6"/>
    <w:rsid w:val="003D754C"/>
    <w:rsid w:val="003D7F7B"/>
    <w:rsid w:val="003E733D"/>
    <w:rsid w:val="003E7DC8"/>
    <w:rsid w:val="003F30C7"/>
    <w:rsid w:val="00400528"/>
    <w:rsid w:val="0040105B"/>
    <w:rsid w:val="00401D2C"/>
    <w:rsid w:val="00402EBA"/>
    <w:rsid w:val="0040589D"/>
    <w:rsid w:val="00405F27"/>
    <w:rsid w:val="00407B03"/>
    <w:rsid w:val="00413E88"/>
    <w:rsid w:val="004179F0"/>
    <w:rsid w:val="004274F3"/>
    <w:rsid w:val="00431413"/>
    <w:rsid w:val="00440135"/>
    <w:rsid w:val="004410F9"/>
    <w:rsid w:val="00443F55"/>
    <w:rsid w:val="004478E7"/>
    <w:rsid w:val="004546F5"/>
    <w:rsid w:val="00455202"/>
    <w:rsid w:val="00466E9F"/>
    <w:rsid w:val="004767D0"/>
    <w:rsid w:val="00481A32"/>
    <w:rsid w:val="00481A87"/>
    <w:rsid w:val="004847C6"/>
    <w:rsid w:val="00484B68"/>
    <w:rsid w:val="00487657"/>
    <w:rsid w:val="0049615B"/>
    <w:rsid w:val="0049729A"/>
    <w:rsid w:val="004A1D74"/>
    <w:rsid w:val="004B62FA"/>
    <w:rsid w:val="004C2CAC"/>
    <w:rsid w:val="004C4EF7"/>
    <w:rsid w:val="004D0982"/>
    <w:rsid w:val="004D3C36"/>
    <w:rsid w:val="004D7E78"/>
    <w:rsid w:val="004E020E"/>
    <w:rsid w:val="004E1DE1"/>
    <w:rsid w:val="004E2194"/>
    <w:rsid w:val="004E3603"/>
    <w:rsid w:val="004E46FB"/>
    <w:rsid w:val="004E4853"/>
    <w:rsid w:val="004E69EF"/>
    <w:rsid w:val="004E7AA5"/>
    <w:rsid w:val="004F07F6"/>
    <w:rsid w:val="004F2847"/>
    <w:rsid w:val="004F2FF7"/>
    <w:rsid w:val="004F5DE2"/>
    <w:rsid w:val="00500FF2"/>
    <w:rsid w:val="0050314F"/>
    <w:rsid w:val="00503BEF"/>
    <w:rsid w:val="00503EDB"/>
    <w:rsid w:val="00507E59"/>
    <w:rsid w:val="00511D11"/>
    <w:rsid w:val="00513C53"/>
    <w:rsid w:val="00520961"/>
    <w:rsid w:val="005346A7"/>
    <w:rsid w:val="00535706"/>
    <w:rsid w:val="0053779E"/>
    <w:rsid w:val="00543A81"/>
    <w:rsid w:val="00543F33"/>
    <w:rsid w:val="00554E33"/>
    <w:rsid w:val="00564C4F"/>
    <w:rsid w:val="00564FC9"/>
    <w:rsid w:val="005650F3"/>
    <w:rsid w:val="00565BAA"/>
    <w:rsid w:val="0057495B"/>
    <w:rsid w:val="00576B74"/>
    <w:rsid w:val="00583810"/>
    <w:rsid w:val="00584EBB"/>
    <w:rsid w:val="00586F87"/>
    <w:rsid w:val="00590EB8"/>
    <w:rsid w:val="0059574F"/>
    <w:rsid w:val="005A4072"/>
    <w:rsid w:val="005A45D4"/>
    <w:rsid w:val="005A6FA3"/>
    <w:rsid w:val="005C1FC7"/>
    <w:rsid w:val="005C4756"/>
    <w:rsid w:val="005C57B7"/>
    <w:rsid w:val="005C6CF0"/>
    <w:rsid w:val="005D1425"/>
    <w:rsid w:val="005D4413"/>
    <w:rsid w:val="005E1A21"/>
    <w:rsid w:val="005E3F6F"/>
    <w:rsid w:val="005E6115"/>
    <w:rsid w:val="005F1AD6"/>
    <w:rsid w:val="005F2C62"/>
    <w:rsid w:val="005F36E5"/>
    <w:rsid w:val="005F3AA4"/>
    <w:rsid w:val="005F6C4F"/>
    <w:rsid w:val="005F74D0"/>
    <w:rsid w:val="00603A64"/>
    <w:rsid w:val="0060444E"/>
    <w:rsid w:val="0060577A"/>
    <w:rsid w:val="00607EDB"/>
    <w:rsid w:val="0061072F"/>
    <w:rsid w:val="00613A7B"/>
    <w:rsid w:val="00616BF9"/>
    <w:rsid w:val="00620061"/>
    <w:rsid w:val="00620265"/>
    <w:rsid w:val="00620EEE"/>
    <w:rsid w:val="00622449"/>
    <w:rsid w:val="00622E76"/>
    <w:rsid w:val="0062497F"/>
    <w:rsid w:val="006320F3"/>
    <w:rsid w:val="00636C8E"/>
    <w:rsid w:val="00637742"/>
    <w:rsid w:val="00637D36"/>
    <w:rsid w:val="00640167"/>
    <w:rsid w:val="006431A9"/>
    <w:rsid w:val="006502C1"/>
    <w:rsid w:val="00654030"/>
    <w:rsid w:val="00655009"/>
    <w:rsid w:val="00660DD3"/>
    <w:rsid w:val="006620DC"/>
    <w:rsid w:val="006700A7"/>
    <w:rsid w:val="00675ECE"/>
    <w:rsid w:val="00677A01"/>
    <w:rsid w:val="006806A2"/>
    <w:rsid w:val="00681FB9"/>
    <w:rsid w:val="00686B89"/>
    <w:rsid w:val="00692258"/>
    <w:rsid w:val="00693D2C"/>
    <w:rsid w:val="00697433"/>
    <w:rsid w:val="00697740"/>
    <w:rsid w:val="006A0850"/>
    <w:rsid w:val="006A167A"/>
    <w:rsid w:val="006A3322"/>
    <w:rsid w:val="006B75C3"/>
    <w:rsid w:val="006B7A04"/>
    <w:rsid w:val="006C1137"/>
    <w:rsid w:val="006C5F47"/>
    <w:rsid w:val="006C6C81"/>
    <w:rsid w:val="006C7758"/>
    <w:rsid w:val="006D06A9"/>
    <w:rsid w:val="006D1A8B"/>
    <w:rsid w:val="006D2C49"/>
    <w:rsid w:val="006E2CE3"/>
    <w:rsid w:val="006E514F"/>
    <w:rsid w:val="006E7700"/>
    <w:rsid w:val="006E7A4B"/>
    <w:rsid w:val="006F1193"/>
    <w:rsid w:val="006F41F0"/>
    <w:rsid w:val="006F50CB"/>
    <w:rsid w:val="00700FE5"/>
    <w:rsid w:val="007036D1"/>
    <w:rsid w:val="00710682"/>
    <w:rsid w:val="0071170F"/>
    <w:rsid w:val="00720C28"/>
    <w:rsid w:val="00721D21"/>
    <w:rsid w:val="00722BC8"/>
    <w:rsid w:val="00724795"/>
    <w:rsid w:val="007304EB"/>
    <w:rsid w:val="00731A66"/>
    <w:rsid w:val="00736A8B"/>
    <w:rsid w:val="007544A8"/>
    <w:rsid w:val="0075565E"/>
    <w:rsid w:val="00756230"/>
    <w:rsid w:val="007601E3"/>
    <w:rsid w:val="00760596"/>
    <w:rsid w:val="00763AA9"/>
    <w:rsid w:val="00765109"/>
    <w:rsid w:val="007709D0"/>
    <w:rsid w:val="0077140A"/>
    <w:rsid w:val="0077201A"/>
    <w:rsid w:val="00777B01"/>
    <w:rsid w:val="0078368F"/>
    <w:rsid w:val="00783B2B"/>
    <w:rsid w:val="0078602B"/>
    <w:rsid w:val="00786F1E"/>
    <w:rsid w:val="00793575"/>
    <w:rsid w:val="007951E2"/>
    <w:rsid w:val="007A1A48"/>
    <w:rsid w:val="007A74D8"/>
    <w:rsid w:val="007B2CD3"/>
    <w:rsid w:val="007B3206"/>
    <w:rsid w:val="007B3FDF"/>
    <w:rsid w:val="007B5577"/>
    <w:rsid w:val="007B726B"/>
    <w:rsid w:val="007C28B2"/>
    <w:rsid w:val="007C61F6"/>
    <w:rsid w:val="007C65EB"/>
    <w:rsid w:val="007C7BD8"/>
    <w:rsid w:val="007D0741"/>
    <w:rsid w:val="007D4565"/>
    <w:rsid w:val="007D45E2"/>
    <w:rsid w:val="007D5B1A"/>
    <w:rsid w:val="007D791F"/>
    <w:rsid w:val="007D7C9E"/>
    <w:rsid w:val="007D7FA6"/>
    <w:rsid w:val="007E0055"/>
    <w:rsid w:val="007E44FC"/>
    <w:rsid w:val="007E5496"/>
    <w:rsid w:val="007E6C76"/>
    <w:rsid w:val="007E769F"/>
    <w:rsid w:val="007F289E"/>
    <w:rsid w:val="007F3C61"/>
    <w:rsid w:val="00804897"/>
    <w:rsid w:val="00805D8D"/>
    <w:rsid w:val="00807267"/>
    <w:rsid w:val="008115C9"/>
    <w:rsid w:val="00811B68"/>
    <w:rsid w:val="008131CE"/>
    <w:rsid w:val="00814AC2"/>
    <w:rsid w:val="00816B54"/>
    <w:rsid w:val="008210CA"/>
    <w:rsid w:val="00821741"/>
    <w:rsid w:val="00832795"/>
    <w:rsid w:val="00834EFA"/>
    <w:rsid w:val="00835621"/>
    <w:rsid w:val="00836129"/>
    <w:rsid w:val="008512FC"/>
    <w:rsid w:val="00853045"/>
    <w:rsid w:val="00855C0C"/>
    <w:rsid w:val="0085781C"/>
    <w:rsid w:val="00857F62"/>
    <w:rsid w:val="00864DDD"/>
    <w:rsid w:val="00864F1D"/>
    <w:rsid w:val="00865533"/>
    <w:rsid w:val="00865840"/>
    <w:rsid w:val="00866657"/>
    <w:rsid w:val="00876296"/>
    <w:rsid w:val="00885EBA"/>
    <w:rsid w:val="0088640D"/>
    <w:rsid w:val="00893B68"/>
    <w:rsid w:val="00897AB4"/>
    <w:rsid w:val="008A16A4"/>
    <w:rsid w:val="008B08B9"/>
    <w:rsid w:val="008B3A0D"/>
    <w:rsid w:val="008B7BBB"/>
    <w:rsid w:val="008C060A"/>
    <w:rsid w:val="008C3238"/>
    <w:rsid w:val="008C5E37"/>
    <w:rsid w:val="008C7EE4"/>
    <w:rsid w:val="008D1998"/>
    <w:rsid w:val="008D402F"/>
    <w:rsid w:val="008D4655"/>
    <w:rsid w:val="008D549A"/>
    <w:rsid w:val="008D6BAC"/>
    <w:rsid w:val="008F3ABD"/>
    <w:rsid w:val="0090230F"/>
    <w:rsid w:val="00905644"/>
    <w:rsid w:val="0090725D"/>
    <w:rsid w:val="00907DD9"/>
    <w:rsid w:val="00912951"/>
    <w:rsid w:val="009144E9"/>
    <w:rsid w:val="00916795"/>
    <w:rsid w:val="00917333"/>
    <w:rsid w:val="009200EB"/>
    <w:rsid w:val="00923D4A"/>
    <w:rsid w:val="0092BC22"/>
    <w:rsid w:val="0093086C"/>
    <w:rsid w:val="00931A0B"/>
    <w:rsid w:val="00931A70"/>
    <w:rsid w:val="00933EFE"/>
    <w:rsid w:val="009346CA"/>
    <w:rsid w:val="00937962"/>
    <w:rsid w:val="009436AB"/>
    <w:rsid w:val="009443E9"/>
    <w:rsid w:val="00950E5C"/>
    <w:rsid w:val="00954862"/>
    <w:rsid w:val="00954E17"/>
    <w:rsid w:val="00963229"/>
    <w:rsid w:val="0097164A"/>
    <w:rsid w:val="00973E43"/>
    <w:rsid w:val="009767B5"/>
    <w:rsid w:val="009805F7"/>
    <w:rsid w:val="00980EE9"/>
    <w:rsid w:val="0098154C"/>
    <w:rsid w:val="00985AB7"/>
    <w:rsid w:val="009877DB"/>
    <w:rsid w:val="00997A0F"/>
    <w:rsid w:val="009A191D"/>
    <w:rsid w:val="009A1C1F"/>
    <w:rsid w:val="009A2056"/>
    <w:rsid w:val="009A260E"/>
    <w:rsid w:val="009A419F"/>
    <w:rsid w:val="009B15FF"/>
    <w:rsid w:val="009C4C5A"/>
    <w:rsid w:val="009C4F21"/>
    <w:rsid w:val="009C54F7"/>
    <w:rsid w:val="009D3D01"/>
    <w:rsid w:val="009D5656"/>
    <w:rsid w:val="009E1488"/>
    <w:rsid w:val="009F10FB"/>
    <w:rsid w:val="009F4BB7"/>
    <w:rsid w:val="009F547D"/>
    <w:rsid w:val="009F6E88"/>
    <w:rsid w:val="00A02D5B"/>
    <w:rsid w:val="00A04899"/>
    <w:rsid w:val="00A07C50"/>
    <w:rsid w:val="00A108CA"/>
    <w:rsid w:val="00A13772"/>
    <w:rsid w:val="00A16F3C"/>
    <w:rsid w:val="00A17E36"/>
    <w:rsid w:val="00A216B6"/>
    <w:rsid w:val="00A23A1E"/>
    <w:rsid w:val="00A249FD"/>
    <w:rsid w:val="00A460A8"/>
    <w:rsid w:val="00A47CCB"/>
    <w:rsid w:val="00A5410E"/>
    <w:rsid w:val="00A56BA5"/>
    <w:rsid w:val="00A632BE"/>
    <w:rsid w:val="00A64814"/>
    <w:rsid w:val="00A65C90"/>
    <w:rsid w:val="00A717C1"/>
    <w:rsid w:val="00A7765A"/>
    <w:rsid w:val="00A83C07"/>
    <w:rsid w:val="00A8576D"/>
    <w:rsid w:val="00A85D01"/>
    <w:rsid w:val="00A8653E"/>
    <w:rsid w:val="00A92B48"/>
    <w:rsid w:val="00AA0F37"/>
    <w:rsid w:val="00AA14F5"/>
    <w:rsid w:val="00AA749B"/>
    <w:rsid w:val="00AB0377"/>
    <w:rsid w:val="00AB5583"/>
    <w:rsid w:val="00AB5F73"/>
    <w:rsid w:val="00AC70B8"/>
    <w:rsid w:val="00AC778E"/>
    <w:rsid w:val="00AD16BE"/>
    <w:rsid w:val="00AD3709"/>
    <w:rsid w:val="00AD7079"/>
    <w:rsid w:val="00AE1189"/>
    <w:rsid w:val="00AE367E"/>
    <w:rsid w:val="00AE45C4"/>
    <w:rsid w:val="00AF1202"/>
    <w:rsid w:val="00B00EEA"/>
    <w:rsid w:val="00B0282E"/>
    <w:rsid w:val="00B12809"/>
    <w:rsid w:val="00B20E90"/>
    <w:rsid w:val="00B256FE"/>
    <w:rsid w:val="00B330F9"/>
    <w:rsid w:val="00B401A2"/>
    <w:rsid w:val="00B405B2"/>
    <w:rsid w:val="00B434E6"/>
    <w:rsid w:val="00B43FD9"/>
    <w:rsid w:val="00B5091F"/>
    <w:rsid w:val="00B5250E"/>
    <w:rsid w:val="00B54D70"/>
    <w:rsid w:val="00B56788"/>
    <w:rsid w:val="00B56C83"/>
    <w:rsid w:val="00B60AF4"/>
    <w:rsid w:val="00B61111"/>
    <w:rsid w:val="00B62709"/>
    <w:rsid w:val="00B725BB"/>
    <w:rsid w:val="00B72EDD"/>
    <w:rsid w:val="00B7794F"/>
    <w:rsid w:val="00B81E4B"/>
    <w:rsid w:val="00B93047"/>
    <w:rsid w:val="00B936B6"/>
    <w:rsid w:val="00B9602A"/>
    <w:rsid w:val="00B968FF"/>
    <w:rsid w:val="00BA1B78"/>
    <w:rsid w:val="00BA1EBF"/>
    <w:rsid w:val="00BA200F"/>
    <w:rsid w:val="00BA2523"/>
    <w:rsid w:val="00BA3214"/>
    <w:rsid w:val="00BA5BC1"/>
    <w:rsid w:val="00BA6E9F"/>
    <w:rsid w:val="00BB55D3"/>
    <w:rsid w:val="00BC3822"/>
    <w:rsid w:val="00BC65D0"/>
    <w:rsid w:val="00BE0EF2"/>
    <w:rsid w:val="00BF1125"/>
    <w:rsid w:val="00BF1389"/>
    <w:rsid w:val="00BF7CC4"/>
    <w:rsid w:val="00C007CD"/>
    <w:rsid w:val="00C03D75"/>
    <w:rsid w:val="00C130E1"/>
    <w:rsid w:val="00C17ECF"/>
    <w:rsid w:val="00C202F5"/>
    <w:rsid w:val="00C25362"/>
    <w:rsid w:val="00C25DA5"/>
    <w:rsid w:val="00C26A28"/>
    <w:rsid w:val="00C37A5C"/>
    <w:rsid w:val="00C41DED"/>
    <w:rsid w:val="00C44EDF"/>
    <w:rsid w:val="00C4537F"/>
    <w:rsid w:val="00C55E2B"/>
    <w:rsid w:val="00C565BB"/>
    <w:rsid w:val="00C62FA2"/>
    <w:rsid w:val="00C64169"/>
    <w:rsid w:val="00C6681E"/>
    <w:rsid w:val="00C71E3B"/>
    <w:rsid w:val="00C72C5A"/>
    <w:rsid w:val="00C773F1"/>
    <w:rsid w:val="00C83277"/>
    <w:rsid w:val="00C87B46"/>
    <w:rsid w:val="00C9198F"/>
    <w:rsid w:val="00C9332C"/>
    <w:rsid w:val="00CA211F"/>
    <w:rsid w:val="00CA3098"/>
    <w:rsid w:val="00CA3612"/>
    <w:rsid w:val="00CB497B"/>
    <w:rsid w:val="00CB49D9"/>
    <w:rsid w:val="00CB4F64"/>
    <w:rsid w:val="00CC381C"/>
    <w:rsid w:val="00CC65CA"/>
    <w:rsid w:val="00CD09BD"/>
    <w:rsid w:val="00CD6B80"/>
    <w:rsid w:val="00CE127E"/>
    <w:rsid w:val="00CE1AED"/>
    <w:rsid w:val="00CE71AC"/>
    <w:rsid w:val="00CF3092"/>
    <w:rsid w:val="00CF5770"/>
    <w:rsid w:val="00CF6301"/>
    <w:rsid w:val="00D002D0"/>
    <w:rsid w:val="00D00823"/>
    <w:rsid w:val="00D01104"/>
    <w:rsid w:val="00D13583"/>
    <w:rsid w:val="00D15B91"/>
    <w:rsid w:val="00D1644D"/>
    <w:rsid w:val="00D1659D"/>
    <w:rsid w:val="00D210AC"/>
    <w:rsid w:val="00D22060"/>
    <w:rsid w:val="00D22A74"/>
    <w:rsid w:val="00D237AD"/>
    <w:rsid w:val="00D23F88"/>
    <w:rsid w:val="00D25C85"/>
    <w:rsid w:val="00D312AA"/>
    <w:rsid w:val="00D3203E"/>
    <w:rsid w:val="00D3217C"/>
    <w:rsid w:val="00D32B4B"/>
    <w:rsid w:val="00D34AAD"/>
    <w:rsid w:val="00D3729A"/>
    <w:rsid w:val="00D37E94"/>
    <w:rsid w:val="00D40BD8"/>
    <w:rsid w:val="00D41EBE"/>
    <w:rsid w:val="00D4400E"/>
    <w:rsid w:val="00D519C2"/>
    <w:rsid w:val="00D52D96"/>
    <w:rsid w:val="00D6187A"/>
    <w:rsid w:val="00D63D79"/>
    <w:rsid w:val="00D64021"/>
    <w:rsid w:val="00D65D00"/>
    <w:rsid w:val="00D65FF0"/>
    <w:rsid w:val="00D662CD"/>
    <w:rsid w:val="00D67625"/>
    <w:rsid w:val="00D73BFC"/>
    <w:rsid w:val="00D74E1E"/>
    <w:rsid w:val="00D76776"/>
    <w:rsid w:val="00D7752E"/>
    <w:rsid w:val="00D81965"/>
    <w:rsid w:val="00D852CB"/>
    <w:rsid w:val="00D913F7"/>
    <w:rsid w:val="00D9180B"/>
    <w:rsid w:val="00DA585B"/>
    <w:rsid w:val="00DB636F"/>
    <w:rsid w:val="00DD0F8F"/>
    <w:rsid w:val="00DD33FA"/>
    <w:rsid w:val="00DD3612"/>
    <w:rsid w:val="00DE251D"/>
    <w:rsid w:val="00DF227C"/>
    <w:rsid w:val="00DF3061"/>
    <w:rsid w:val="00DF45D5"/>
    <w:rsid w:val="00DF4911"/>
    <w:rsid w:val="00DF4EE6"/>
    <w:rsid w:val="00E01024"/>
    <w:rsid w:val="00E05516"/>
    <w:rsid w:val="00E0696B"/>
    <w:rsid w:val="00E26E33"/>
    <w:rsid w:val="00E33744"/>
    <w:rsid w:val="00E33765"/>
    <w:rsid w:val="00E371F1"/>
    <w:rsid w:val="00E42622"/>
    <w:rsid w:val="00E46054"/>
    <w:rsid w:val="00E46758"/>
    <w:rsid w:val="00E57B76"/>
    <w:rsid w:val="00E60700"/>
    <w:rsid w:val="00E619B2"/>
    <w:rsid w:val="00E6221E"/>
    <w:rsid w:val="00E6394C"/>
    <w:rsid w:val="00E67F11"/>
    <w:rsid w:val="00E72C84"/>
    <w:rsid w:val="00E759B2"/>
    <w:rsid w:val="00E75ECA"/>
    <w:rsid w:val="00E8089E"/>
    <w:rsid w:val="00E83AC8"/>
    <w:rsid w:val="00E84AC2"/>
    <w:rsid w:val="00E8783A"/>
    <w:rsid w:val="00E92970"/>
    <w:rsid w:val="00E93F77"/>
    <w:rsid w:val="00E97493"/>
    <w:rsid w:val="00E97525"/>
    <w:rsid w:val="00EA2246"/>
    <w:rsid w:val="00EA3160"/>
    <w:rsid w:val="00EA7519"/>
    <w:rsid w:val="00EA7D05"/>
    <w:rsid w:val="00EB7E43"/>
    <w:rsid w:val="00EC06DE"/>
    <w:rsid w:val="00EC41EC"/>
    <w:rsid w:val="00EC5C7C"/>
    <w:rsid w:val="00ED0FD5"/>
    <w:rsid w:val="00ED55F1"/>
    <w:rsid w:val="00EE359B"/>
    <w:rsid w:val="00EE5036"/>
    <w:rsid w:val="00EF1DD3"/>
    <w:rsid w:val="00EF7D66"/>
    <w:rsid w:val="00F007E1"/>
    <w:rsid w:val="00F010BF"/>
    <w:rsid w:val="00F01A06"/>
    <w:rsid w:val="00F03335"/>
    <w:rsid w:val="00F061DA"/>
    <w:rsid w:val="00F121E8"/>
    <w:rsid w:val="00F204F4"/>
    <w:rsid w:val="00F23283"/>
    <w:rsid w:val="00F27F5E"/>
    <w:rsid w:val="00F317F6"/>
    <w:rsid w:val="00F31FAA"/>
    <w:rsid w:val="00F343EA"/>
    <w:rsid w:val="00F36E34"/>
    <w:rsid w:val="00F42FD8"/>
    <w:rsid w:val="00F44B0C"/>
    <w:rsid w:val="00F52152"/>
    <w:rsid w:val="00F521A5"/>
    <w:rsid w:val="00F521E2"/>
    <w:rsid w:val="00F54383"/>
    <w:rsid w:val="00F56F9C"/>
    <w:rsid w:val="00F61EBD"/>
    <w:rsid w:val="00F64BD3"/>
    <w:rsid w:val="00F712AD"/>
    <w:rsid w:val="00F72AFA"/>
    <w:rsid w:val="00F74B3F"/>
    <w:rsid w:val="00F81662"/>
    <w:rsid w:val="00F84E1B"/>
    <w:rsid w:val="00F85E55"/>
    <w:rsid w:val="00F91336"/>
    <w:rsid w:val="00F94AFA"/>
    <w:rsid w:val="00FA01C9"/>
    <w:rsid w:val="00FA0D88"/>
    <w:rsid w:val="00FA467D"/>
    <w:rsid w:val="00FB3FBF"/>
    <w:rsid w:val="00FB42C3"/>
    <w:rsid w:val="00FB7F18"/>
    <w:rsid w:val="00FB7FCD"/>
    <w:rsid w:val="00FC1F69"/>
    <w:rsid w:val="00FC3A43"/>
    <w:rsid w:val="00FC5E20"/>
    <w:rsid w:val="00FC699E"/>
    <w:rsid w:val="00FD154E"/>
    <w:rsid w:val="00FD4AD0"/>
    <w:rsid w:val="00FD505A"/>
    <w:rsid w:val="00FD5FA8"/>
    <w:rsid w:val="00FE3DC3"/>
    <w:rsid w:val="00FE3EB0"/>
    <w:rsid w:val="00FE708A"/>
    <w:rsid w:val="00FF02B6"/>
    <w:rsid w:val="00FF4936"/>
    <w:rsid w:val="0989B5DE"/>
    <w:rsid w:val="09911BE6"/>
    <w:rsid w:val="0F4A19EF"/>
    <w:rsid w:val="10E5EA50"/>
    <w:rsid w:val="24CB7206"/>
    <w:rsid w:val="3DEE2536"/>
    <w:rsid w:val="4ACD7EB7"/>
    <w:rsid w:val="688DB151"/>
    <w:rsid w:val="6CEC365C"/>
    <w:rsid w:val="713F60AB"/>
    <w:rsid w:val="7C10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F3D0FDE"/>
  <w14:defaultImageDpi w14:val="0"/>
  <w15:docId w15:val="{D5F85FF3-A427-489B-997F-57B55C87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6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uiPriority w:val="5"/>
    <w:qFormat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2"/>
      </w:numPr>
      <w:spacing w:before="0" w:after="60" w:line="240" w:lineRule="atLeast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2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2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2152"/>
    <w:pPr>
      <w:spacing w:after="240" w:line="300" w:lineRule="auto"/>
      <w:ind w:left="720"/>
      <w:contextualSpacing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table" w:styleId="GridTable4-Accent5">
    <w:name w:val="Grid Table 4 Accent 5"/>
    <w:basedOn w:val="TableNormal"/>
    <w:uiPriority w:val="49"/>
    <w:rsid w:val="00805D8D"/>
    <w:rPr>
      <w:rFonts w:ascii="Segoe UI Semilight" w:eastAsia="Segoe UI Semilight" w:hAnsi="Segoe UI Semilight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paragraph" w:customStyle="1" w:styleId="paragraph">
    <w:name w:val="paragraph"/>
    <w:basedOn w:val="Normal"/>
    <w:rsid w:val="005D1425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D1425"/>
  </w:style>
  <w:style w:type="character" w:customStyle="1" w:styleId="eop">
    <w:name w:val="eop"/>
    <w:basedOn w:val="DefaultParagraphFont"/>
    <w:rsid w:val="005D1425"/>
  </w:style>
  <w:style w:type="paragraph" w:customStyle="1" w:styleId="Lista">
    <w:name w:val="List (a)"/>
    <w:basedOn w:val="Normal"/>
    <w:qFormat/>
    <w:rsid w:val="00244B8B"/>
    <w:pPr>
      <w:numPr>
        <w:ilvl w:val="1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i">
    <w:name w:val="List (i)"/>
    <w:basedOn w:val="Normal"/>
    <w:uiPriority w:val="1"/>
    <w:qFormat/>
    <w:rsid w:val="00244B8B"/>
    <w:pPr>
      <w:numPr>
        <w:ilvl w:val="2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ListA0">
    <w:name w:val="List (A)"/>
    <w:basedOn w:val="Normal"/>
    <w:uiPriority w:val="2"/>
    <w:qFormat/>
    <w:rsid w:val="00244B8B"/>
    <w:pPr>
      <w:numPr>
        <w:ilvl w:val="3"/>
        <w:numId w:val="9"/>
      </w:numPr>
      <w:spacing w:before="120" w:after="120" w:line="288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paragraph" w:customStyle="1" w:styleId="ResetPara">
    <w:name w:val="ResetPara"/>
    <w:next w:val="BodyText"/>
    <w:uiPriority w:val="99"/>
    <w:qFormat/>
    <w:rsid w:val="00244B8B"/>
    <w:pPr>
      <w:keepNext/>
      <w:numPr>
        <w:numId w:val="9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customStyle="1" w:styleId="CaptionTable">
    <w:name w:val="Caption Table"/>
    <w:basedOn w:val="Caption"/>
    <w:next w:val="BodyText"/>
    <w:uiPriority w:val="7"/>
    <w:qFormat/>
    <w:rsid w:val="00455202"/>
    <w:pPr>
      <w:keepNext/>
      <w:numPr>
        <w:numId w:val="12"/>
      </w:numPr>
      <w:tabs>
        <w:tab w:val="clear" w:pos="5670"/>
        <w:tab w:val="num" w:pos="360"/>
      </w:tabs>
      <w:spacing w:before="240" w:after="60" w:line="264" w:lineRule="auto"/>
      <w:ind w:left="1560" w:hanging="851"/>
    </w:pPr>
    <w:rPr>
      <w:rFonts w:asciiTheme="majorHAnsi" w:eastAsia="Calibri" w:hAnsiTheme="majorHAnsi"/>
      <w:b/>
      <w:bCs/>
      <w:i w:val="0"/>
      <w:iCs w:val="0"/>
      <w:color w:val="4472C4" w:themeColor="accent1"/>
      <w:lang w:eastAsia="en-US"/>
    </w:rPr>
  </w:style>
  <w:style w:type="character" w:customStyle="1" w:styleId="Superscript">
    <w:name w:val="Superscript"/>
    <w:uiPriority w:val="1"/>
    <w:qFormat/>
    <w:rsid w:val="00455202"/>
    <w:rPr>
      <w:position w:val="6"/>
      <w:sz w:val="1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520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0" ma:contentTypeDescription="Create a new document." ma:contentTypeScope="" ma:versionID="987e34d49dbeeb8a997eed562ceaf0f0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bd01b45c62a4b6b07b0c9df379e51a9c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8418-9434-41C7-9D62-7E0B9A24E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E03A12-0D40-4113-9DE7-6C08A6628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6A777-1DDA-4F6E-8F4C-F1684C6D433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2D1752-63A5-4A0E-BB76-97560F82E0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F1129C-C101-4F10-B05B-1989FBF8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550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Package_Participant_Response_Pack - initial consultation</dc:title>
  <dc:subject/>
  <dc:creator>NEMMCO</dc:creator>
  <cp:keywords/>
  <dc:description/>
  <cp:lastModifiedBy>Kate Gordon</cp:lastModifiedBy>
  <cp:revision>71</cp:revision>
  <cp:lastPrinted>2017-04-07T05:09:00Z</cp:lastPrinted>
  <dcterms:created xsi:type="dcterms:W3CDTF">2023-09-19T03:28:00Z</dcterms:created>
  <dcterms:modified xsi:type="dcterms:W3CDTF">2023-09-20T23:55:00Z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RETAILMARKET-21-58955</vt:lpwstr>
  </property>
  <property fmtid="{D5CDD505-2E9C-101B-9397-08002B2CF9AE}" pid="5" name="_dlc_DocIdItemGuid">
    <vt:lpwstr>f38e6ccb-eda2-49e1-a8c6-4195fd765a84</vt:lpwstr>
  </property>
  <property fmtid="{D5CDD505-2E9C-101B-9397-08002B2CF9AE}" pid="6" name="_dlc_DocIdUrl">
    <vt:lpwstr>http://sharedocs/sites/rmm/RetD/_layouts/15/DocIdRedir.aspx?ID=RETAILMARKET-21-58955, RETAILMARKET-21-58955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AEMOCustodian">
    <vt:lpwstr/>
  </property>
  <property fmtid="{D5CDD505-2E9C-101B-9397-08002B2CF9AE}" pid="13" name="ContentTypeId">
    <vt:lpwstr>0x010100EE8DA666050D4E4A8B0FCA8707E29AD3</vt:lpwstr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2023-09-19T03:28:06Z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c1402e13-26c3-4016-bfed-9f53a12a82ad</vt:lpwstr>
  </property>
  <property fmtid="{D5CDD505-2E9C-101B-9397-08002B2CF9AE}" pid="20" name="MSIP_Label_c1941c47-a837-430d-8559-fd118a72769e_ContentBits">
    <vt:lpwstr>0</vt:lpwstr>
  </property>
</Properties>
</file>