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C89E" w14:textId="4DBDA9AF" w:rsidR="00B1593B" w:rsidRPr="005662B3" w:rsidRDefault="004D50AE" w:rsidP="00B1593B">
      <w:pPr>
        <w:tabs>
          <w:tab w:val="left" w:pos="1980"/>
        </w:tabs>
        <w:spacing w:before="120" w:after="120" w:line="312" w:lineRule="auto"/>
        <w:outlineLvl w:val="0"/>
        <w:rPr>
          <w:rFonts w:ascii="Century Gothic" w:eastAsia="Arial Nova" w:hAnsi="Century Gothic" w:cs="Times New Roman"/>
          <w:b/>
          <w:color w:val="6B3077"/>
          <w:sz w:val="44"/>
          <w:szCs w:val="44"/>
        </w:rPr>
      </w:pPr>
      <w:r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Addendum to d</w:t>
      </w:r>
      <w:r w:rsidR="00B1593B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 xml:space="preserve">raft report </w:t>
      </w:r>
      <w:r w:rsidR="00BF7AAF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Stakeholder feedback template</w:t>
      </w:r>
      <w:r w:rsidR="00B1593B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:</w:t>
      </w:r>
      <w:r w:rsidR="00BF7AAF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 xml:space="preserve"> </w:t>
      </w:r>
    </w:p>
    <w:p w14:paraId="12EF8D54" w14:textId="0BC42D58" w:rsidR="00B1593B" w:rsidRPr="005662B3" w:rsidRDefault="00B1593B" w:rsidP="00B1593B">
      <w:pPr>
        <w:tabs>
          <w:tab w:val="left" w:pos="1980"/>
        </w:tabs>
        <w:spacing w:before="120" w:after="120" w:line="312" w:lineRule="auto"/>
        <w:outlineLvl w:val="0"/>
        <w:rPr>
          <w:rFonts w:ascii="Century Gothic" w:eastAsia="Arial Nova" w:hAnsi="Century Gothic" w:cs="Times New Roman"/>
          <w:b/>
          <w:color w:val="6B3077"/>
          <w:sz w:val="44"/>
          <w:szCs w:val="44"/>
        </w:rPr>
      </w:pPr>
      <w:r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AEMO</w:t>
      </w:r>
      <w:r w:rsidR="00BF7AAF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 xml:space="preserve"> </w:t>
      </w:r>
      <w:r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R</w:t>
      </w:r>
      <w:r w:rsidR="00BF7AAF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eview of technical requirements for connection</w:t>
      </w:r>
      <w:r w:rsidR="007D0A95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 xml:space="preserve"> </w:t>
      </w:r>
      <w:r w:rsidR="00553BCE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 xml:space="preserve">(NER </w:t>
      </w:r>
      <w:r w:rsidR="007D0A95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5.2.6A</w:t>
      </w:r>
      <w:r w:rsidR="00553BCE" w:rsidRPr="005662B3">
        <w:rPr>
          <w:rFonts w:ascii="Century Gothic" w:eastAsia="Arial Nova" w:hAnsi="Century Gothic" w:cs="Times New Roman"/>
          <w:b/>
          <w:color w:val="6B3077"/>
          <w:sz w:val="44"/>
          <w:szCs w:val="44"/>
        </w:rPr>
        <w:t>)</w:t>
      </w:r>
    </w:p>
    <w:p w14:paraId="09359AFA" w14:textId="78E2E0D2" w:rsidR="00AA7448" w:rsidRDefault="000E5F6A" w:rsidP="653D24FA">
      <w:pPr>
        <w:tabs>
          <w:tab w:val="left" w:pos="1980"/>
        </w:tabs>
        <w:spacing w:before="60" w:after="60" w:line="240" w:lineRule="auto"/>
        <w:rPr>
          <w:rFonts w:ascii="Arial Nova" w:eastAsia="Arial Nova" w:hAnsi="Arial Nova" w:cs="Times New Roman"/>
          <w:sz w:val="20"/>
          <w:szCs w:val="20"/>
        </w:rPr>
      </w:pPr>
      <w:r w:rsidRPr="653D24FA">
        <w:rPr>
          <w:rFonts w:ascii="Arial Nova" w:eastAsia="Arial Nova" w:hAnsi="Arial Nova" w:cs="Times New Roman"/>
          <w:sz w:val="20"/>
          <w:szCs w:val="20"/>
        </w:rPr>
        <w:t xml:space="preserve">Stakeholders making a submission on </w:t>
      </w:r>
      <w:r w:rsidR="00BF450B" w:rsidRPr="653D24FA">
        <w:rPr>
          <w:rFonts w:ascii="Arial Nova" w:eastAsia="Arial Nova" w:hAnsi="Arial Nova" w:cs="Times New Roman"/>
          <w:sz w:val="20"/>
          <w:szCs w:val="20"/>
        </w:rPr>
        <w:t xml:space="preserve">the </w:t>
      </w:r>
      <w:r w:rsidRPr="653D24FA">
        <w:rPr>
          <w:rFonts w:ascii="Arial Nova" w:eastAsia="Arial Nova" w:hAnsi="Arial Nova" w:cs="Times New Roman"/>
          <w:sz w:val="20"/>
          <w:szCs w:val="20"/>
        </w:rPr>
        <w:t xml:space="preserve">recommendations </w:t>
      </w:r>
      <w:r w:rsidR="00BF450B" w:rsidRPr="653D24FA">
        <w:rPr>
          <w:rFonts w:ascii="Arial Nova" w:eastAsia="Arial Nova" w:hAnsi="Arial Nova" w:cs="Times New Roman"/>
          <w:sz w:val="20"/>
          <w:szCs w:val="20"/>
        </w:rPr>
        <w:t xml:space="preserve">set out in the </w:t>
      </w:r>
      <w:r w:rsidR="000300A9" w:rsidRPr="653D24FA">
        <w:rPr>
          <w:rFonts w:ascii="Arial Nova" w:eastAsia="Arial Nova" w:hAnsi="Arial Nova" w:cs="Times New Roman"/>
          <w:sz w:val="20"/>
          <w:szCs w:val="20"/>
        </w:rPr>
        <w:t>addendum to the</w:t>
      </w:r>
      <w:r w:rsidRPr="653D24FA">
        <w:rPr>
          <w:rFonts w:ascii="Arial Nova" w:eastAsia="Arial Nova" w:hAnsi="Arial Nova" w:cs="Times New Roman"/>
          <w:sz w:val="20"/>
          <w:szCs w:val="20"/>
        </w:rPr>
        <w:t xml:space="preserve"> draft report</w:t>
      </w:r>
      <w:r w:rsidR="00B928F3" w:rsidRPr="653D24FA">
        <w:rPr>
          <w:rFonts w:ascii="Arial Nova" w:eastAsia="Arial Nova" w:hAnsi="Arial Nova" w:cs="Times New Roman"/>
          <w:sz w:val="20"/>
          <w:szCs w:val="20"/>
        </w:rPr>
        <w:t xml:space="preserve"> may use the below template to </w:t>
      </w:r>
      <w:r w:rsidR="005B15DD" w:rsidRPr="653D24FA">
        <w:rPr>
          <w:rFonts w:ascii="Arial Nova" w:eastAsia="Arial Nova" w:hAnsi="Arial Nova" w:cs="Times New Roman"/>
          <w:sz w:val="20"/>
          <w:szCs w:val="20"/>
        </w:rPr>
        <w:t>provide feedback.</w:t>
      </w:r>
      <w:r w:rsidR="00B16743" w:rsidRPr="653D24FA">
        <w:rPr>
          <w:rFonts w:ascii="Arial Nova" w:eastAsia="Arial Nova" w:hAnsi="Arial Nova" w:cs="Times New Roman"/>
          <w:sz w:val="20"/>
          <w:szCs w:val="20"/>
        </w:rPr>
        <w:t xml:space="preserve"> 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 xml:space="preserve">Feedback on the </w:t>
      </w:r>
      <w:r w:rsidR="00A44DCB" w:rsidRPr="653D24FA">
        <w:rPr>
          <w:rFonts w:ascii="Arial Nova" w:eastAsia="Arial Nova" w:hAnsi="Arial Nova" w:cs="Times New Roman"/>
          <w:b/>
          <w:bCs/>
          <w:sz w:val="20"/>
          <w:szCs w:val="20"/>
        </w:rPr>
        <w:t>addendum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 xml:space="preserve"> is due to AEMO by </w:t>
      </w:r>
      <w:r w:rsidR="001F588B" w:rsidRPr="653D24FA">
        <w:rPr>
          <w:rFonts w:ascii="Arial Nova" w:eastAsia="Arial Nova" w:hAnsi="Arial Nova" w:cs="Times New Roman"/>
          <w:b/>
          <w:bCs/>
          <w:sz w:val="20"/>
          <w:szCs w:val="20"/>
        </w:rPr>
        <w:t>5</w:t>
      </w:r>
      <w:r w:rsidR="001000CD">
        <w:rPr>
          <w:rFonts w:ascii="Arial Nova" w:eastAsia="Arial Nova" w:hAnsi="Arial Nova" w:cs="Times New Roman"/>
          <w:b/>
          <w:bCs/>
          <w:sz w:val="20"/>
          <w:szCs w:val="20"/>
        </w:rPr>
        <w:t>:</w:t>
      </w:r>
      <w:r w:rsidR="001F588B" w:rsidRPr="653D24FA">
        <w:rPr>
          <w:rFonts w:ascii="Arial Nova" w:eastAsia="Arial Nova" w:hAnsi="Arial Nova" w:cs="Times New Roman"/>
          <w:b/>
          <w:bCs/>
          <w:sz w:val="20"/>
          <w:szCs w:val="20"/>
        </w:rPr>
        <w:t xml:space="preserve">00 pm, </w:t>
      </w:r>
      <w:r w:rsidR="00C9436A">
        <w:rPr>
          <w:rFonts w:ascii="Arial Nova" w:eastAsia="Arial Nova" w:hAnsi="Arial Nova" w:cs="Times New Roman"/>
          <w:b/>
          <w:bCs/>
          <w:sz w:val="20"/>
          <w:szCs w:val="20"/>
        </w:rPr>
        <w:t>23</w:t>
      </w:r>
      <w:r w:rsidR="00A44DCB" w:rsidRPr="653D24FA">
        <w:rPr>
          <w:rFonts w:ascii="Arial Nova" w:eastAsia="Arial Nova" w:hAnsi="Arial Nova" w:cs="Times New Roman"/>
          <w:b/>
          <w:bCs/>
          <w:sz w:val="20"/>
          <w:szCs w:val="20"/>
        </w:rPr>
        <w:t xml:space="preserve"> May 2023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 xml:space="preserve"> (please</w:t>
      </w:r>
      <w:r w:rsidR="00AA7448" w:rsidRPr="653D24FA">
        <w:rPr>
          <w:rFonts w:ascii="Arial Nova" w:eastAsia="Arial Nova" w:hAnsi="Arial Nova" w:cs="Times New Roman"/>
          <w:sz w:val="20"/>
          <w:szCs w:val="20"/>
        </w:rPr>
        <w:t xml:space="preserve"> 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 xml:space="preserve">note the earlier </w:t>
      </w:r>
      <w:r w:rsidR="001F588B" w:rsidRPr="653D24FA">
        <w:rPr>
          <w:rFonts w:ascii="Arial Nova" w:eastAsia="Arial Nova" w:hAnsi="Arial Nova" w:cs="Times New Roman"/>
          <w:sz w:val="20"/>
          <w:szCs w:val="20"/>
        </w:rPr>
        <w:t xml:space="preserve">submission 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 xml:space="preserve">date for </w:t>
      </w:r>
      <w:r w:rsidR="001F588B" w:rsidRPr="653D24FA">
        <w:rPr>
          <w:rFonts w:ascii="Arial Nova" w:eastAsia="Arial Nova" w:hAnsi="Arial Nova" w:cs="Times New Roman"/>
          <w:sz w:val="20"/>
          <w:szCs w:val="20"/>
        </w:rPr>
        <w:t xml:space="preserve">feedback on 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>the primary draft report)</w:t>
      </w:r>
      <w:r w:rsidR="00AA7448" w:rsidRPr="653D24FA">
        <w:rPr>
          <w:rFonts w:ascii="Arial Nova" w:eastAsia="Arial Nova" w:hAnsi="Arial Nova" w:cs="Times New Roman"/>
          <w:sz w:val="20"/>
          <w:szCs w:val="20"/>
        </w:rPr>
        <w:t>.</w:t>
      </w:r>
      <w:r w:rsidR="00A44DCB" w:rsidRPr="653D24FA">
        <w:rPr>
          <w:rFonts w:ascii="Arial Nova" w:eastAsia="Arial Nova" w:hAnsi="Arial Nova" w:cs="Times New Roman"/>
          <w:sz w:val="20"/>
          <w:szCs w:val="20"/>
        </w:rPr>
        <w:t xml:space="preserve"> </w:t>
      </w:r>
    </w:p>
    <w:p w14:paraId="59213659" w14:textId="7F876B8A" w:rsidR="000E5F6A" w:rsidRDefault="00B16743" w:rsidP="000E5F6A">
      <w:pPr>
        <w:tabs>
          <w:tab w:val="left" w:pos="1980"/>
        </w:tabs>
        <w:spacing w:before="60" w:after="60" w:line="240" w:lineRule="auto"/>
        <w:rPr>
          <w:rFonts w:ascii="Arial Nova" w:eastAsia="Arial Nova" w:hAnsi="Arial Nova" w:cs="Times New Roman"/>
          <w:bCs/>
          <w:sz w:val="20"/>
          <w:szCs w:val="32"/>
        </w:rPr>
      </w:pPr>
      <w:r>
        <w:rPr>
          <w:rFonts w:ascii="Arial Nova" w:eastAsia="Arial Nova" w:hAnsi="Arial Nova" w:cs="Times New Roman"/>
          <w:bCs/>
          <w:sz w:val="20"/>
          <w:szCs w:val="32"/>
        </w:rPr>
        <w:t>Please consider the confidentiality disclaimer at the end of this document.</w:t>
      </w:r>
    </w:p>
    <w:p w14:paraId="0B504875" w14:textId="4680639D" w:rsidR="00B42822" w:rsidRPr="008260A7" w:rsidRDefault="00B1593B" w:rsidP="00B1593B">
      <w:pPr>
        <w:keepNext/>
        <w:spacing w:before="300" w:after="120" w:line="240" w:lineRule="auto"/>
        <w:ind w:left="992" w:hanging="992"/>
        <w:rPr>
          <w:rFonts w:ascii="Century Gothic" w:eastAsia="Arial Nova" w:hAnsi="Century Gothic" w:cs="Times New Roman"/>
          <w:b/>
          <w:color w:val="6B3077"/>
        </w:rPr>
      </w:pPr>
      <w:r w:rsidRPr="008260A7">
        <w:rPr>
          <w:rFonts w:ascii="Century Gothic" w:eastAsia="Arial Nova" w:hAnsi="Century Gothic" w:cs="Times New Roman"/>
          <w:b/>
          <w:iCs/>
          <w:color w:val="6B3077"/>
        </w:rPr>
        <w:t>Stakeholder:</w:t>
      </w:r>
      <w:r w:rsidR="00E80EF8">
        <w:rPr>
          <w:rFonts w:ascii="Century Gothic" w:eastAsia="Arial Nova" w:hAnsi="Century Gothic" w:cs="Times New Roman"/>
          <w:b/>
          <w:iCs/>
          <w:color w:val="6B3077"/>
        </w:rPr>
        <w:t xml:space="preserve"> </w:t>
      </w:r>
      <w:sdt>
        <w:sdtPr>
          <w:rPr>
            <w:rFonts w:ascii="Century Gothic" w:eastAsia="Arial Nova" w:hAnsi="Century Gothic" w:cs="Times New Roman"/>
            <w:b/>
            <w:iCs/>
            <w:color w:val="6B3077"/>
          </w:rPr>
          <w:id w:val="-436293438"/>
          <w:placeholder>
            <w:docPart w:val="DefaultPlaceholder_-185401344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C93EFC">
            <w:rPr>
              <w:rFonts w:ascii="Century Gothic" w:eastAsia="Arial Nova" w:hAnsi="Century Gothic" w:cs="Times New Roman"/>
              <w:b/>
              <w:iCs/>
              <w:color w:val="6B3077"/>
            </w:rPr>
            <w:t>Organisation name</w:t>
          </w:r>
        </w:sdtContent>
      </w:sdt>
      <w:r w:rsidRPr="008260A7">
        <w:rPr>
          <w:rFonts w:ascii="Century Gothic" w:eastAsia="Arial Nova" w:hAnsi="Century Gothic" w:cs="Times New Roman"/>
          <w:b/>
          <w:iCs/>
          <w:color w:val="6B3077"/>
        </w:rPr>
        <w:t xml:space="preserve"> </w:t>
      </w:r>
    </w:p>
    <w:p w14:paraId="29A11939" w14:textId="77777777" w:rsidR="00B1593B" w:rsidRPr="00B1593B" w:rsidRDefault="00B1593B" w:rsidP="00B1593B">
      <w:pPr>
        <w:pStyle w:val="BodyText"/>
      </w:pPr>
    </w:p>
    <w:p w14:paraId="730DD402" w14:textId="356C33ED" w:rsidR="00BF7AAF" w:rsidRDefault="00BF7AAF" w:rsidP="00BF7AAF">
      <w:pPr>
        <w:keepNext/>
        <w:spacing w:before="300" w:after="120" w:line="240" w:lineRule="auto"/>
        <w:ind w:left="992" w:hanging="992"/>
        <w:rPr>
          <w:rFonts w:ascii="Century Gothic" w:eastAsia="Arial Nova" w:hAnsi="Century Gothic" w:cs="Times New Roman"/>
          <w:b/>
          <w:iCs/>
          <w:color w:val="6B3077"/>
          <w:sz w:val="18"/>
          <w:szCs w:val="18"/>
        </w:rPr>
      </w:pPr>
      <w:bookmarkStart w:id="0" w:name="_Toc128149222"/>
      <w:r w:rsidRPr="00BF7AAF">
        <w:rPr>
          <w:rFonts w:ascii="Century Gothic" w:eastAsia="Arial Nova" w:hAnsi="Century Gothic" w:cs="Times New Roman"/>
          <w:b/>
          <w:iCs/>
          <w:color w:val="6B3077"/>
          <w:sz w:val="18"/>
          <w:szCs w:val="18"/>
        </w:rPr>
        <w:t>Schedule 5.</w:t>
      </w:r>
      <w:r w:rsidR="00745BEB">
        <w:rPr>
          <w:rFonts w:ascii="Century Gothic" w:eastAsia="Arial Nova" w:hAnsi="Century Gothic" w:cs="Times New Roman"/>
          <w:b/>
          <w:iCs/>
          <w:color w:val="6B3077"/>
          <w:sz w:val="18"/>
          <w:szCs w:val="18"/>
        </w:rPr>
        <w:t>3</w:t>
      </w:r>
      <w:r w:rsidRPr="00BF7AAF">
        <w:rPr>
          <w:rFonts w:ascii="Century Gothic" w:eastAsia="Arial Nova" w:hAnsi="Century Gothic" w:cs="Times New Roman"/>
          <w:b/>
          <w:iCs/>
          <w:color w:val="6B3077"/>
          <w:sz w:val="18"/>
          <w:szCs w:val="18"/>
        </w:rPr>
        <w:t xml:space="preserve"> Conditions for Connection of </w:t>
      </w:r>
      <w:bookmarkEnd w:id="0"/>
      <w:r w:rsidR="00745BEB">
        <w:rPr>
          <w:rFonts w:ascii="Century Gothic" w:eastAsia="Arial Nova" w:hAnsi="Century Gothic" w:cs="Times New Roman"/>
          <w:b/>
          <w:iCs/>
          <w:color w:val="6B3077"/>
          <w:sz w:val="18"/>
          <w:szCs w:val="18"/>
        </w:rPr>
        <w:t>Customers</w:t>
      </w:r>
    </w:p>
    <w:tbl>
      <w:tblPr>
        <w:tblStyle w:val="AEMO-Table2"/>
        <w:tblW w:w="4875" w:type="pct"/>
        <w:tblLook w:val="00A0" w:firstRow="1" w:lastRow="0" w:firstColumn="1" w:lastColumn="0" w:noHBand="0" w:noVBand="0"/>
      </w:tblPr>
      <w:tblGrid>
        <w:gridCol w:w="3762"/>
        <w:gridCol w:w="11251"/>
      </w:tblGrid>
      <w:tr w:rsidR="00947D55" w:rsidRPr="00F947A0" w14:paraId="0EC577C3" w14:textId="77777777" w:rsidTr="00745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19771698" w14:textId="77777777" w:rsidR="00947D55" w:rsidRPr="00F947A0" w:rsidRDefault="00947D55" w:rsidP="008C15B6">
            <w:pPr>
              <w:pStyle w:val="TableText"/>
            </w:pPr>
            <w:r>
              <w:t>Issue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08AA77E0" w14:textId="77777777" w:rsidR="00947D55" w:rsidRPr="00F947A0" w:rsidRDefault="00947D55" w:rsidP="008C15B6">
            <w:pPr>
              <w:pStyle w:val="TableText"/>
            </w:pPr>
            <w:r>
              <w:t>Schedule 5.3 Recommendations</w:t>
            </w:r>
          </w:p>
        </w:tc>
      </w:tr>
      <w:tr w:rsidR="00947D55" w14:paraId="206734F6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gridSpan w:val="2"/>
            <w:shd w:val="clear" w:color="auto" w:fill="auto"/>
          </w:tcPr>
          <w:p w14:paraId="5E3B34D8" w14:textId="77777777" w:rsidR="00947D55" w:rsidRPr="00292989" w:rsidRDefault="00947D55" w:rsidP="008C15B6">
            <w:pPr>
              <w:pStyle w:val="TableText"/>
              <w:rPr>
                <w:bCs/>
              </w:rPr>
            </w:pPr>
            <w:r>
              <w:rPr>
                <w:bCs/>
              </w:rPr>
              <w:t>Policy positions</w:t>
            </w:r>
          </w:p>
        </w:tc>
      </w:tr>
      <w:tr w:rsidR="00947D55" w14:paraId="4C7E93DA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326789D3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Recognition</w:t>
            </w:r>
            <w:r w:rsidRPr="00A44C19">
              <w:rPr>
                <w:b w:val="0"/>
              </w:rPr>
              <w:t xml:space="preserve"> of different load technologies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491F2FEE" w14:textId="0CC07DD0" w:rsidR="00947D55" w:rsidRDefault="00947D55" w:rsidP="008C15B6">
            <w:pPr>
              <w:pStyle w:val="TableBullet"/>
              <w:numPr>
                <w:ilvl w:val="0"/>
                <w:numId w:val="0"/>
              </w:numPr>
              <w:ind w:left="170" w:hanging="170"/>
            </w:pPr>
          </w:p>
        </w:tc>
      </w:tr>
      <w:tr w:rsidR="00947D55" w14:paraId="34F48B50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2EFAFC98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6D2463">
              <w:rPr>
                <w:b w:val="0"/>
              </w:rPr>
              <w:t>Size and technology-based thresholds for ride through capability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06A64D6A" w14:textId="74F2AFAC" w:rsidR="00947D55" w:rsidRDefault="00947D55" w:rsidP="000B02FC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947D55" w14:paraId="76C18C95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2491518F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Treatment of different load technologies within a load facility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75F29816" w14:textId="1D4A54E5" w:rsidR="00947D55" w:rsidRDefault="00947D55" w:rsidP="008C15B6">
            <w:pPr>
              <w:pStyle w:val="TableText"/>
            </w:pPr>
          </w:p>
        </w:tc>
      </w:tr>
      <w:tr w:rsidR="00947D55" w14:paraId="31830CE8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7A3B356C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</w:t>
            </w:r>
            <w:r w:rsidRPr="00A44C19">
              <w:rPr>
                <w:b w:val="0"/>
              </w:rPr>
              <w:t>ontinuous uninterrupted operation</w:t>
            </w:r>
            <w:r>
              <w:rPr>
                <w:b w:val="0"/>
              </w:rPr>
              <w:t xml:space="preserve"> (CUO)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1C84E648" w14:textId="30515A5B" w:rsidR="00947D55" w:rsidRDefault="00947D55" w:rsidP="000B02FC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947D55" w14:paraId="156A5937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0B92F554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Treatment of loads with uninterruptible power supplies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1FDA5136" w14:textId="3C041439" w:rsidR="00947D55" w:rsidRDefault="00947D55" w:rsidP="008C15B6">
            <w:pPr>
              <w:pStyle w:val="TableText"/>
            </w:pPr>
          </w:p>
        </w:tc>
      </w:tr>
      <w:tr w:rsidR="0030657A" w14:paraId="5D05059A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45344F5F" w14:textId="62309AA2" w:rsidR="0030657A" w:rsidRPr="00A44C19" w:rsidRDefault="00885446" w:rsidP="008C15B6">
            <w:pPr>
              <w:pStyle w:val="TableText"/>
            </w:pPr>
            <w:r w:rsidRPr="00885446">
              <w:rPr>
                <w:b w:val="0"/>
              </w:rPr>
              <w:t>AEMO advisory matters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02D5BECA" w14:textId="77777777" w:rsidR="0030657A" w:rsidRDefault="0030657A" w:rsidP="008C15B6">
            <w:pPr>
              <w:pStyle w:val="TableText"/>
            </w:pPr>
          </w:p>
        </w:tc>
      </w:tr>
      <w:tr w:rsidR="00947D55" w14:paraId="4A9D8DB1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gridSpan w:val="2"/>
            <w:shd w:val="clear" w:color="auto" w:fill="auto"/>
          </w:tcPr>
          <w:p w14:paraId="491F2364" w14:textId="77777777" w:rsidR="00947D55" w:rsidRDefault="00947D55" w:rsidP="008C15B6">
            <w:pPr>
              <w:pStyle w:val="TableText"/>
            </w:pPr>
            <w:r w:rsidRPr="00FA681C">
              <w:t xml:space="preserve">New </w:t>
            </w:r>
            <w:r>
              <w:t>d</w:t>
            </w:r>
            <w:r w:rsidRPr="00FA681C">
              <w:t>efinitions – for use with ride-through requirements</w:t>
            </w:r>
          </w:p>
        </w:tc>
      </w:tr>
      <w:tr w:rsidR="00947D55" w14:paraId="6006BF62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19519B64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Single facility load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5711C6DC" w14:textId="66FE1B2A" w:rsidR="00947D55" w:rsidRDefault="00947D55" w:rsidP="008C15B6">
            <w:pPr>
              <w:pStyle w:val="TableText"/>
            </w:pPr>
          </w:p>
        </w:tc>
      </w:tr>
      <w:tr w:rsidR="00947D55" w14:paraId="3DBA1D21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7DE90E28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Large single facility load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1D5AC166" w14:textId="0581356E" w:rsidR="00947D55" w:rsidRDefault="00947D55" w:rsidP="008C15B6">
            <w:pPr>
              <w:pStyle w:val="TableText"/>
            </w:pPr>
          </w:p>
        </w:tc>
      </w:tr>
      <w:tr w:rsidR="00947D55" w14:paraId="58B14071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27FC41DF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Large single facility inverter-based load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782904FC" w14:textId="729301FF" w:rsidR="00947D55" w:rsidRDefault="00947D55" w:rsidP="008C15B6">
            <w:pPr>
              <w:pStyle w:val="TableText"/>
            </w:pPr>
          </w:p>
        </w:tc>
      </w:tr>
      <w:tr w:rsidR="00947D55" w14:paraId="654C13C2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gridSpan w:val="2"/>
            <w:shd w:val="clear" w:color="auto" w:fill="auto"/>
          </w:tcPr>
          <w:p w14:paraId="1F4CEDD0" w14:textId="77777777" w:rsidR="00947D55" w:rsidRPr="00292989" w:rsidRDefault="00947D55" w:rsidP="008C15B6">
            <w:pPr>
              <w:pStyle w:val="TableText"/>
              <w:rPr>
                <w:bCs/>
              </w:rPr>
            </w:pPr>
            <w:bookmarkStart w:id="1" w:name="_Toc126932813"/>
            <w:r w:rsidRPr="003B6F91">
              <w:rPr>
                <w:bCs/>
              </w:rPr>
              <w:t>New</w:t>
            </w:r>
            <w:r>
              <w:rPr>
                <w:bCs/>
              </w:rPr>
              <w:t>/amended</w:t>
            </w:r>
            <w:r w:rsidRPr="003B6F91">
              <w:rPr>
                <w:bCs/>
              </w:rPr>
              <w:t xml:space="preserve"> clauses for ride-through requirements</w:t>
            </w:r>
            <w:bookmarkEnd w:id="1"/>
          </w:p>
        </w:tc>
      </w:tr>
      <w:tr w:rsidR="00947D55" w14:paraId="1CD6A183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329EF975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Operation of large loads during frequency disturbances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7D180076" w14:textId="20D72025" w:rsidR="00947D55" w:rsidRDefault="00947D55" w:rsidP="000B02FC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947D55" w14:paraId="36DF9F3B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70FECEC4" w14:textId="77777777" w:rsidR="00947D55" w:rsidRPr="00982672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lastRenderedPageBreak/>
              <w:t>Operation of large loads during contingency events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2F1795EE" w14:textId="735C7491" w:rsidR="00947D55" w:rsidRDefault="00947D55" w:rsidP="000B02FC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947D55" w14:paraId="238071E0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3BEC771F" w14:textId="77777777" w:rsidR="00947D55" w:rsidRPr="00670619" w:rsidRDefault="00947D55" w:rsidP="008C15B6">
            <w:pPr>
              <w:pStyle w:val="TableText"/>
              <w:rPr>
                <w:b w:val="0"/>
              </w:rPr>
            </w:pPr>
            <w:r w:rsidRPr="00A44C19">
              <w:rPr>
                <w:b w:val="0"/>
              </w:rPr>
              <w:t>Operation of large loads during voltage disturbances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73050AE9" w14:textId="17320488" w:rsidR="00947D55" w:rsidRPr="00DC7F0C" w:rsidRDefault="00947D55" w:rsidP="000B02FC">
            <w:pPr>
              <w:pStyle w:val="TableBullet"/>
              <w:numPr>
                <w:ilvl w:val="0"/>
                <w:numId w:val="0"/>
              </w:numPr>
              <w:ind w:left="170" w:hanging="170"/>
            </w:pPr>
          </w:p>
        </w:tc>
      </w:tr>
      <w:tr w:rsidR="004365D2" w14:paraId="421702A3" w14:textId="77777777" w:rsidTr="00AD2EB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gridSpan w:val="2"/>
            <w:shd w:val="clear" w:color="auto" w:fill="auto"/>
          </w:tcPr>
          <w:p w14:paraId="067B451C" w14:textId="098E1788" w:rsidR="004365D2" w:rsidRDefault="00AD705C" w:rsidP="008C15B6">
            <w:pPr>
              <w:pStyle w:val="TableText"/>
            </w:pPr>
            <w:r w:rsidRPr="002751A1">
              <w:t>NER S5.3.</w:t>
            </w:r>
            <w:r>
              <w:t>3</w:t>
            </w:r>
            <w:r w:rsidRPr="002751A1">
              <w:t xml:space="preserve"> – </w:t>
            </w:r>
            <w:r>
              <w:t>protection systems and settings</w:t>
            </w:r>
          </w:p>
        </w:tc>
      </w:tr>
      <w:tr w:rsidR="004365D2" w14:paraId="33D5DD49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07CCFB4A" w14:textId="4A3C9CCF" w:rsidR="004365D2" w:rsidRPr="00000908" w:rsidRDefault="00CF40F1" w:rsidP="008C15B6">
            <w:pPr>
              <w:pStyle w:val="TableText"/>
            </w:pPr>
            <w:r w:rsidRPr="007A354E">
              <w:rPr>
                <w:b w:val="0"/>
              </w:rPr>
              <w:t>Link to ‘ride through’ requirements and maximising protection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5DD0F1B7" w14:textId="77777777" w:rsidR="004365D2" w:rsidRDefault="004365D2" w:rsidP="008C15B6">
            <w:pPr>
              <w:pStyle w:val="TableText"/>
            </w:pPr>
          </w:p>
        </w:tc>
      </w:tr>
      <w:tr w:rsidR="004365D2" w14:paraId="71B49455" w14:textId="77777777" w:rsidTr="00CC7E8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gridSpan w:val="2"/>
            <w:shd w:val="clear" w:color="auto" w:fill="auto"/>
          </w:tcPr>
          <w:p w14:paraId="692CAB4D" w14:textId="47DA9693" w:rsidR="004365D2" w:rsidRDefault="00210E3F" w:rsidP="00210E3F">
            <w:pPr>
              <w:pStyle w:val="TableText"/>
            </w:pPr>
            <w:r w:rsidRPr="002751A1">
              <w:t>NER S5.3.10 – Load shedding facilities</w:t>
            </w:r>
          </w:p>
        </w:tc>
      </w:tr>
      <w:tr w:rsidR="00947D55" w14:paraId="61C624BD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65B00E38" w14:textId="77777777" w:rsidR="00947D55" w:rsidRPr="00934FD6" w:rsidRDefault="00947D55" w:rsidP="008C15B6">
            <w:pPr>
              <w:pStyle w:val="TableText"/>
              <w:rPr>
                <w:b w:val="0"/>
              </w:rPr>
            </w:pPr>
            <w:r w:rsidRPr="00000908">
              <w:rPr>
                <w:b w:val="0"/>
              </w:rPr>
              <w:t>Emergency Under-frequency ramp down of large loads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2E1E76F3" w14:textId="5F2850C6" w:rsidR="00947D55" w:rsidRDefault="00947D55" w:rsidP="008C15B6">
            <w:pPr>
              <w:pStyle w:val="TableText"/>
            </w:pPr>
          </w:p>
        </w:tc>
      </w:tr>
      <w:tr w:rsidR="00947D55" w14:paraId="03DC4D49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gridSpan w:val="2"/>
            <w:shd w:val="clear" w:color="auto" w:fill="auto"/>
          </w:tcPr>
          <w:p w14:paraId="7F97F699" w14:textId="77777777" w:rsidR="00947D55" w:rsidRPr="00A44C19" w:rsidRDefault="00947D55" w:rsidP="008C15B6">
            <w:pPr>
              <w:pStyle w:val="TableText"/>
            </w:pPr>
            <w:r w:rsidRPr="00A44C19">
              <w:t>New clause</w:t>
            </w:r>
            <w:r>
              <w:t xml:space="preserve"> for instability monitoring and prevention</w:t>
            </w:r>
          </w:p>
        </w:tc>
      </w:tr>
      <w:tr w:rsidR="00947D55" w14:paraId="1433AEAA" w14:textId="77777777" w:rsidTr="00745B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358DAD2E" w14:textId="77777777" w:rsidR="00947D55" w:rsidRPr="00934FD6" w:rsidRDefault="00947D55" w:rsidP="008C15B6">
            <w:pPr>
              <w:pStyle w:val="TableText"/>
              <w:rPr>
                <w:b w:val="0"/>
              </w:rPr>
            </w:pPr>
            <w:r w:rsidRPr="00E07F4A">
              <w:rPr>
                <w:b w:val="0"/>
              </w:rPr>
              <w:t>Stability of IBL – monitoring, protection and performance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1" w:type="dxa"/>
          </w:tcPr>
          <w:p w14:paraId="7B5C04DE" w14:textId="3A5EBA92" w:rsidR="00947D55" w:rsidRDefault="00947D55" w:rsidP="007942B3">
            <w:pPr>
              <w:pStyle w:val="TableBullet"/>
              <w:numPr>
                <w:ilvl w:val="0"/>
                <w:numId w:val="0"/>
              </w:numPr>
              <w:ind w:left="170" w:hanging="170"/>
            </w:pPr>
          </w:p>
        </w:tc>
      </w:tr>
    </w:tbl>
    <w:p w14:paraId="47E9EBFF" w14:textId="77777777" w:rsidR="00BF450B" w:rsidRDefault="00BF450B"/>
    <w:p w14:paraId="43E5C77D" w14:textId="3C2073D2" w:rsidR="00B16743" w:rsidRDefault="00B16743">
      <w:r>
        <w:rPr>
          <w:b/>
          <w:bCs/>
        </w:rPr>
        <w:t>Confidentiality disclaimer</w:t>
      </w:r>
    </w:p>
    <w:p w14:paraId="697DAD07" w14:textId="3EF3488A" w:rsidR="00B16743" w:rsidRPr="005662B3" w:rsidRDefault="00B16743" w:rsidP="00B16743">
      <w:pPr>
        <w:spacing w:after="270" w:line="240" w:lineRule="auto"/>
        <w:textAlignment w:val="baseline"/>
        <w:rPr>
          <w:rFonts w:ascii="Arial Nova" w:eastAsia="Arial Nova" w:hAnsi="Arial Nova" w:cs="Times New Roman"/>
          <w:bCs/>
          <w:sz w:val="20"/>
          <w:szCs w:val="32"/>
        </w:rPr>
      </w:pPr>
      <w:r w:rsidRPr="005662B3">
        <w:rPr>
          <w:rFonts w:ascii="Arial Nova" w:eastAsia="Arial Nova" w:hAnsi="Arial Nova" w:cs="Times New Roman"/>
          <w:bCs/>
          <w:sz w:val="20"/>
          <w:szCs w:val="32"/>
        </w:rPr>
        <w:t>Under clause 5.2.6A(d)(2), AEMO is required to publish all submissions</w:t>
      </w:r>
      <w:r w:rsidR="00503B9B">
        <w:rPr>
          <w:rFonts w:ascii="Arial Nova" w:eastAsia="Arial Nova" w:hAnsi="Arial Nova" w:cs="Times New Roman"/>
          <w:bCs/>
          <w:sz w:val="20"/>
          <w:szCs w:val="32"/>
        </w:rPr>
        <w:t xml:space="preserve"> received about this Review</w:t>
      </w:r>
      <w:r w:rsidRPr="005662B3">
        <w:rPr>
          <w:rFonts w:ascii="Arial Nova" w:eastAsia="Arial Nova" w:hAnsi="Arial Nova" w:cs="Times New Roman"/>
          <w:bCs/>
          <w:sz w:val="20"/>
          <w:szCs w:val="32"/>
        </w:rPr>
        <w:t xml:space="preserve"> on its website. Please identify any part of your submission that is confidential, which you do not wish to be published. </w:t>
      </w:r>
      <w:r w:rsidR="004E7E67">
        <w:rPr>
          <w:rFonts w:ascii="Arial Nova" w:eastAsia="Arial Nova" w:hAnsi="Arial Nova" w:cs="Times New Roman"/>
          <w:bCs/>
          <w:sz w:val="20"/>
          <w:szCs w:val="32"/>
        </w:rPr>
        <w:t>Please</w:t>
      </w:r>
      <w:r w:rsidRPr="005662B3">
        <w:rPr>
          <w:rFonts w:ascii="Arial Nova" w:eastAsia="Arial Nova" w:hAnsi="Arial Nova" w:cs="Times New Roman"/>
          <w:bCs/>
          <w:sz w:val="20"/>
          <w:szCs w:val="32"/>
        </w:rPr>
        <w:t xml:space="preserve"> note that if material identified as confidential cannot be shared and validated with other interested persons, then it may be accorded less weight in AEMO</w:t>
      </w:r>
      <w:r w:rsidRPr="005662B3">
        <w:rPr>
          <w:rFonts w:ascii="Arial Nova" w:eastAsia="Arial Nova" w:hAnsi="Arial Nova" w:cs="Times New Roman" w:hint="eastAsia"/>
          <w:bCs/>
          <w:sz w:val="20"/>
          <w:szCs w:val="32"/>
        </w:rPr>
        <w:t>’</w:t>
      </w:r>
      <w:r w:rsidRPr="005662B3">
        <w:rPr>
          <w:rFonts w:ascii="Arial Nova" w:eastAsia="Arial Nova" w:hAnsi="Arial Nova" w:cs="Times New Roman"/>
          <w:bCs/>
          <w:sz w:val="20"/>
          <w:szCs w:val="32"/>
        </w:rPr>
        <w:t>s decision-making process than published material. AEMO prefers that submissions be forwarded in electronic format.</w:t>
      </w:r>
    </w:p>
    <w:p w14:paraId="4AD0CA55" w14:textId="77777777" w:rsidR="00B16743" w:rsidRPr="00B16743" w:rsidRDefault="00B16743"/>
    <w:sectPr w:rsidR="00B16743" w:rsidRPr="00B16743" w:rsidSect="007E0455">
      <w:headerReference w:type="default" r:id="rId12"/>
      <w:footerReference w:type="default" r:id="rId13"/>
      <w:pgSz w:w="16838" w:h="11906" w:orient="landscape"/>
      <w:pgMar w:top="720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06F5" w14:textId="77777777" w:rsidR="00E163A6" w:rsidRDefault="00E163A6" w:rsidP="00BF7AAF">
      <w:pPr>
        <w:spacing w:after="0" w:line="240" w:lineRule="auto"/>
      </w:pPr>
      <w:r>
        <w:separator/>
      </w:r>
    </w:p>
  </w:endnote>
  <w:endnote w:type="continuationSeparator" w:id="0">
    <w:p w14:paraId="3A8D3A65" w14:textId="77777777" w:rsidR="00E163A6" w:rsidRDefault="00E163A6" w:rsidP="00BF7AAF">
      <w:pPr>
        <w:spacing w:after="0" w:line="240" w:lineRule="auto"/>
      </w:pPr>
      <w:r>
        <w:continuationSeparator/>
      </w:r>
    </w:p>
  </w:endnote>
  <w:endnote w:type="continuationNotice" w:id="1">
    <w:p w14:paraId="1AB97380" w14:textId="77777777" w:rsidR="00E163A6" w:rsidRDefault="00E16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3A71" w14:textId="5F5BD49B" w:rsidR="00BF450B" w:rsidRPr="00A829F1" w:rsidRDefault="00AF1468">
    <w:pPr>
      <w:pStyle w:val="Footer"/>
      <w:rPr>
        <w:color w:val="6B3077" w:themeColor="accent1"/>
        <w:sz w:val="16"/>
        <w:szCs w:val="16"/>
      </w:rPr>
    </w:pPr>
    <w:r w:rsidRPr="00A829F1">
      <w:rPr>
        <w:b/>
        <w:color w:val="6B3077" w:themeColor="accent1"/>
        <w:sz w:val="16"/>
        <w:szCs w:val="16"/>
      </w:rPr>
      <w:t>Stakeholder feedback</w:t>
    </w:r>
    <w:r w:rsidRPr="00A829F1">
      <w:rPr>
        <w:color w:val="6B3077" w:themeColor="accent1"/>
        <w:sz w:val="16"/>
        <w:szCs w:val="16"/>
      </w:rPr>
      <w:t xml:space="preserve"> |</w:t>
    </w:r>
    <w:r w:rsidR="00611173" w:rsidRPr="00A829F1">
      <w:rPr>
        <w:color w:val="6B3077" w:themeColor="accent1"/>
        <w:sz w:val="16"/>
        <w:szCs w:val="16"/>
      </w:rPr>
      <w:t xml:space="preserve"> </w:t>
    </w:r>
    <w:sdt>
      <w:sdtPr>
        <w:rPr>
          <w:rFonts w:eastAsia="Arial Nova" w:cs="Times New Roman"/>
          <w:b/>
          <w:iCs/>
          <w:color w:val="6B3077" w:themeColor="accent1"/>
          <w:sz w:val="16"/>
          <w:szCs w:val="16"/>
        </w:rPr>
        <w:id w:val="589740514"/>
        <w:placeholder>
          <w:docPart w:val="A909A5C1DAB34D77AE3992262237230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/>
      </w:sdtPr>
      <w:sdtContent>
        <w:r w:rsidR="00C93EFC">
          <w:rPr>
            <w:rFonts w:eastAsia="Arial Nova" w:cs="Times New Roman"/>
            <w:b/>
            <w:iCs/>
            <w:color w:val="6B3077" w:themeColor="accent1"/>
            <w:sz w:val="16"/>
            <w:szCs w:val="16"/>
          </w:rPr>
          <w:t>Organisation name</w:t>
        </w:r>
      </w:sdtContent>
    </w:sdt>
    <w:r w:rsidR="00515E93" w:rsidRPr="00A829F1">
      <w:rPr>
        <w:color w:val="6B3077" w:themeColor="accent1"/>
        <w:sz w:val="16"/>
        <w:szCs w:val="16"/>
      </w:rPr>
      <w:t xml:space="preserve"> </w:t>
    </w:r>
    <w:r w:rsidR="008F7DF6" w:rsidRPr="00A829F1">
      <w:rPr>
        <w:color w:val="6B3077" w:themeColor="accent1"/>
        <w:sz w:val="16"/>
        <w:szCs w:val="16"/>
      </w:rPr>
      <w:t xml:space="preserve">| </w:t>
    </w:r>
    <w:r w:rsidR="00AE3388" w:rsidRPr="00A829F1">
      <w:rPr>
        <w:color w:val="6B3077" w:themeColor="accent1"/>
        <w:sz w:val="16"/>
        <w:szCs w:val="16"/>
      </w:rPr>
      <w:t xml:space="preserve">AEMO review of technical requirements for connection under Schedules 5.2, 5.3 and 5.3a of the </w:t>
    </w:r>
    <w:r w:rsidR="003D43C8" w:rsidRPr="00A829F1">
      <w:rPr>
        <w:color w:val="6B3077" w:themeColor="accent1"/>
        <w:sz w:val="16"/>
        <w:szCs w:val="16"/>
      </w:rPr>
      <w:t>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7BBE" w14:textId="77777777" w:rsidR="00E163A6" w:rsidRDefault="00E163A6" w:rsidP="00BF7AAF">
      <w:pPr>
        <w:spacing w:after="0" w:line="240" w:lineRule="auto"/>
      </w:pPr>
      <w:r>
        <w:separator/>
      </w:r>
    </w:p>
  </w:footnote>
  <w:footnote w:type="continuationSeparator" w:id="0">
    <w:p w14:paraId="2DADBCCF" w14:textId="77777777" w:rsidR="00E163A6" w:rsidRDefault="00E163A6" w:rsidP="00BF7AAF">
      <w:pPr>
        <w:spacing w:after="0" w:line="240" w:lineRule="auto"/>
      </w:pPr>
      <w:r>
        <w:continuationSeparator/>
      </w:r>
    </w:p>
  </w:footnote>
  <w:footnote w:type="continuationNotice" w:id="1">
    <w:p w14:paraId="60C601E4" w14:textId="77777777" w:rsidR="00E163A6" w:rsidRDefault="00E163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CFAC" w14:textId="0A1CEA1B" w:rsidR="005858B1" w:rsidRDefault="005858B1">
    <w:pPr>
      <w:pStyle w:val="Header"/>
    </w:pPr>
    <w:r w:rsidRPr="00C06A2A">
      <w:rPr>
        <w:rFonts w:ascii="Century Gothic" w:hAnsi="Century Gothic"/>
        <w:b/>
        <w:bCs/>
        <w:noProof/>
        <w:color w:val="A3519B" w:themeColor="accent2"/>
        <w:sz w:val="52"/>
        <w:szCs w:val="52"/>
      </w:rPr>
      <w:drawing>
        <wp:anchor distT="0" distB="0" distL="114300" distR="114300" simplePos="0" relativeHeight="251658240" behindDoc="0" locked="0" layoutInCell="1" allowOverlap="1" wp14:anchorId="124DC64F" wp14:editId="57462F18">
          <wp:simplePos x="0" y="0"/>
          <wp:positionH relativeFrom="margin">
            <wp:align>right</wp:align>
          </wp:positionH>
          <wp:positionV relativeFrom="paragraph">
            <wp:posOffset>-397258</wp:posOffset>
          </wp:positionV>
          <wp:extent cx="1574800" cy="520700"/>
          <wp:effectExtent l="0" t="0" r="6350" b="0"/>
          <wp:wrapSquare wrapText="bothSides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2D1"/>
    <w:multiLevelType w:val="multilevel"/>
    <w:tmpl w:val="9F980894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AF"/>
    <w:rsid w:val="000155BB"/>
    <w:rsid w:val="00025352"/>
    <w:rsid w:val="00025D88"/>
    <w:rsid w:val="000300A9"/>
    <w:rsid w:val="000B02FC"/>
    <w:rsid w:val="000B0C8C"/>
    <w:rsid w:val="000B18A4"/>
    <w:rsid w:val="000C3434"/>
    <w:rsid w:val="000E5F6A"/>
    <w:rsid w:val="001000CD"/>
    <w:rsid w:val="00112212"/>
    <w:rsid w:val="0011315A"/>
    <w:rsid w:val="001C1DC9"/>
    <w:rsid w:val="001F588B"/>
    <w:rsid w:val="00210E3F"/>
    <w:rsid w:val="00251C9A"/>
    <w:rsid w:val="002A12B2"/>
    <w:rsid w:val="002B1B1B"/>
    <w:rsid w:val="002C07BF"/>
    <w:rsid w:val="002C4BFE"/>
    <w:rsid w:val="003010AA"/>
    <w:rsid w:val="0030657A"/>
    <w:rsid w:val="00322649"/>
    <w:rsid w:val="003459EE"/>
    <w:rsid w:val="00351736"/>
    <w:rsid w:val="003568BC"/>
    <w:rsid w:val="00360D1E"/>
    <w:rsid w:val="00365CB0"/>
    <w:rsid w:val="0037159E"/>
    <w:rsid w:val="003A063F"/>
    <w:rsid w:val="003D43C8"/>
    <w:rsid w:val="004001F1"/>
    <w:rsid w:val="00402399"/>
    <w:rsid w:val="004133AB"/>
    <w:rsid w:val="0041771B"/>
    <w:rsid w:val="00433C8C"/>
    <w:rsid w:val="004365D2"/>
    <w:rsid w:val="004601FD"/>
    <w:rsid w:val="0047700E"/>
    <w:rsid w:val="00493118"/>
    <w:rsid w:val="004A3B63"/>
    <w:rsid w:val="004D50AE"/>
    <w:rsid w:val="004E7E67"/>
    <w:rsid w:val="00503B9B"/>
    <w:rsid w:val="00511586"/>
    <w:rsid w:val="00512B18"/>
    <w:rsid w:val="00515E93"/>
    <w:rsid w:val="00540A75"/>
    <w:rsid w:val="00553BCE"/>
    <w:rsid w:val="00561B86"/>
    <w:rsid w:val="005662B3"/>
    <w:rsid w:val="0058178B"/>
    <w:rsid w:val="005858B1"/>
    <w:rsid w:val="0059436E"/>
    <w:rsid w:val="005A06E9"/>
    <w:rsid w:val="005B15DD"/>
    <w:rsid w:val="005C4AC1"/>
    <w:rsid w:val="005D5A3C"/>
    <w:rsid w:val="005E5AB6"/>
    <w:rsid w:val="005F0A8F"/>
    <w:rsid w:val="00611173"/>
    <w:rsid w:val="00660B2E"/>
    <w:rsid w:val="00692768"/>
    <w:rsid w:val="006B3C5B"/>
    <w:rsid w:val="006E176C"/>
    <w:rsid w:val="006F4003"/>
    <w:rsid w:val="00713B8A"/>
    <w:rsid w:val="00716557"/>
    <w:rsid w:val="007234A7"/>
    <w:rsid w:val="00726650"/>
    <w:rsid w:val="00730767"/>
    <w:rsid w:val="00745BEB"/>
    <w:rsid w:val="00751A8F"/>
    <w:rsid w:val="007942B3"/>
    <w:rsid w:val="007A354E"/>
    <w:rsid w:val="007B1F5A"/>
    <w:rsid w:val="007B27B9"/>
    <w:rsid w:val="007D0A95"/>
    <w:rsid w:val="007E0455"/>
    <w:rsid w:val="00822A99"/>
    <w:rsid w:val="008260A7"/>
    <w:rsid w:val="00871EA4"/>
    <w:rsid w:val="00885446"/>
    <w:rsid w:val="008B5C8A"/>
    <w:rsid w:val="008F7DF6"/>
    <w:rsid w:val="00901BC2"/>
    <w:rsid w:val="00902F7E"/>
    <w:rsid w:val="00911C92"/>
    <w:rsid w:val="00945558"/>
    <w:rsid w:val="00947D55"/>
    <w:rsid w:val="00973BD5"/>
    <w:rsid w:val="00983563"/>
    <w:rsid w:val="00990944"/>
    <w:rsid w:val="00990EB3"/>
    <w:rsid w:val="009957DB"/>
    <w:rsid w:val="009C24DD"/>
    <w:rsid w:val="00A25693"/>
    <w:rsid w:val="00A44DCB"/>
    <w:rsid w:val="00A453F7"/>
    <w:rsid w:val="00A55F2C"/>
    <w:rsid w:val="00A574B3"/>
    <w:rsid w:val="00A6338B"/>
    <w:rsid w:val="00A64EAB"/>
    <w:rsid w:val="00A66387"/>
    <w:rsid w:val="00A66B37"/>
    <w:rsid w:val="00A71142"/>
    <w:rsid w:val="00A75BE0"/>
    <w:rsid w:val="00A829F1"/>
    <w:rsid w:val="00A91FA9"/>
    <w:rsid w:val="00AA7448"/>
    <w:rsid w:val="00AD2F30"/>
    <w:rsid w:val="00AD705C"/>
    <w:rsid w:val="00AE3388"/>
    <w:rsid w:val="00AF1468"/>
    <w:rsid w:val="00AF59C5"/>
    <w:rsid w:val="00B0600F"/>
    <w:rsid w:val="00B1593B"/>
    <w:rsid w:val="00B16743"/>
    <w:rsid w:val="00B25159"/>
    <w:rsid w:val="00B42822"/>
    <w:rsid w:val="00B53CCB"/>
    <w:rsid w:val="00B928F3"/>
    <w:rsid w:val="00B9375D"/>
    <w:rsid w:val="00BB10FD"/>
    <w:rsid w:val="00BF450B"/>
    <w:rsid w:val="00BF5554"/>
    <w:rsid w:val="00BF7AAF"/>
    <w:rsid w:val="00C236DA"/>
    <w:rsid w:val="00C25F71"/>
    <w:rsid w:val="00C31D08"/>
    <w:rsid w:val="00C66CDD"/>
    <w:rsid w:val="00C67D7A"/>
    <w:rsid w:val="00C93EFC"/>
    <w:rsid w:val="00C9436A"/>
    <w:rsid w:val="00CB2CD1"/>
    <w:rsid w:val="00CD1262"/>
    <w:rsid w:val="00CD2599"/>
    <w:rsid w:val="00CD6058"/>
    <w:rsid w:val="00CF40F1"/>
    <w:rsid w:val="00D514D3"/>
    <w:rsid w:val="00D55591"/>
    <w:rsid w:val="00D80B24"/>
    <w:rsid w:val="00DA7608"/>
    <w:rsid w:val="00DF38CF"/>
    <w:rsid w:val="00E05F6B"/>
    <w:rsid w:val="00E163A6"/>
    <w:rsid w:val="00E36674"/>
    <w:rsid w:val="00E36F86"/>
    <w:rsid w:val="00E54480"/>
    <w:rsid w:val="00E57A85"/>
    <w:rsid w:val="00E745F4"/>
    <w:rsid w:val="00E80EF8"/>
    <w:rsid w:val="00E852F8"/>
    <w:rsid w:val="00EF2027"/>
    <w:rsid w:val="00F0287A"/>
    <w:rsid w:val="00F117D6"/>
    <w:rsid w:val="00F60D4E"/>
    <w:rsid w:val="00F6316B"/>
    <w:rsid w:val="00F75FAC"/>
    <w:rsid w:val="00F84291"/>
    <w:rsid w:val="00F945E9"/>
    <w:rsid w:val="00FD5CBF"/>
    <w:rsid w:val="00FD619A"/>
    <w:rsid w:val="00FE46EA"/>
    <w:rsid w:val="653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A6A0D"/>
  <w15:chartTrackingRefBased/>
  <w15:docId w15:val="{C57A5B7E-0F96-41EA-8686-B64151FE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02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2459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F7A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AAF"/>
    <w:rPr>
      <w:sz w:val="20"/>
      <w:szCs w:val="20"/>
    </w:rPr>
  </w:style>
  <w:style w:type="table" w:customStyle="1" w:styleId="AEMO-Table2">
    <w:name w:val="AEMO - Table 2"/>
    <w:basedOn w:val="TableNormal"/>
    <w:uiPriority w:val="99"/>
    <w:rsid w:val="00BF7AAF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4" w:space="0" w:color="3C1053"/>
        <w:bottom w:val="single" w:sz="4" w:space="0" w:color="3C1053"/>
        <w:insideH w:val="single" w:sz="4" w:space="0" w:color="3C1053"/>
      </w:tblBorders>
    </w:tblPr>
    <w:tblStylePr w:type="firstRow">
      <w:rPr>
        <w:b/>
        <w:i w:val="0"/>
        <w:color w:val="3C1053"/>
      </w:rPr>
      <w:tblPr/>
      <w:trPr>
        <w:cantSplit/>
        <w:tblHeader/>
      </w:trPr>
      <w:tcPr>
        <w:shd w:val="clear" w:color="auto" w:fill="E6CEEB"/>
      </w:tcPr>
    </w:tblStylePr>
    <w:tblStylePr w:type="firstCol">
      <w:rPr>
        <w:b/>
        <w:i w:val="0"/>
      </w:rPr>
      <w:tblPr/>
      <w:tcPr>
        <w:shd w:val="clear" w:color="auto" w:fill="D9D9D9"/>
      </w:tcPr>
    </w:tblStylePr>
    <w:tblStylePr w:type="band1Vert">
      <w:tblPr/>
      <w:tcPr>
        <w:shd w:val="clear" w:color="auto" w:fill="EEEEF0"/>
      </w:tcPr>
    </w:tblStylePr>
  </w:style>
  <w:style w:type="character" w:styleId="FootnoteReference">
    <w:name w:val="footnote reference"/>
    <w:basedOn w:val="DefaultParagraphFont"/>
    <w:uiPriority w:val="99"/>
    <w:unhideWhenUsed/>
    <w:rsid w:val="00BF7AAF"/>
    <w:rPr>
      <w:vertAlign w:val="superscript"/>
    </w:rPr>
  </w:style>
  <w:style w:type="paragraph" w:customStyle="1" w:styleId="Heading-Nonumber">
    <w:name w:val="Heading - No number"/>
    <w:basedOn w:val="Normal"/>
    <w:next w:val="BodyText"/>
    <w:uiPriority w:val="8"/>
    <w:qFormat/>
    <w:rsid w:val="00B1593B"/>
    <w:pPr>
      <w:tabs>
        <w:tab w:val="left" w:pos="1980"/>
      </w:tabs>
      <w:spacing w:before="120" w:after="120" w:line="312" w:lineRule="auto"/>
    </w:pPr>
    <w:rPr>
      <w:rFonts w:asciiTheme="majorHAnsi" w:hAnsiTheme="majorHAnsi"/>
      <w:b/>
      <w:color w:val="6B3077" w:themeColor="accent1"/>
      <w:sz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59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93B"/>
  </w:style>
  <w:style w:type="paragraph" w:styleId="Header">
    <w:name w:val="header"/>
    <w:basedOn w:val="Normal"/>
    <w:link w:val="HeaderChar"/>
    <w:uiPriority w:val="99"/>
    <w:unhideWhenUsed/>
    <w:rsid w:val="00585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B1"/>
  </w:style>
  <w:style w:type="paragraph" w:styleId="Footer">
    <w:name w:val="footer"/>
    <w:basedOn w:val="Normal"/>
    <w:link w:val="FooterChar"/>
    <w:uiPriority w:val="99"/>
    <w:unhideWhenUsed/>
    <w:rsid w:val="00585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B1"/>
  </w:style>
  <w:style w:type="paragraph" w:styleId="Revision">
    <w:name w:val="Revision"/>
    <w:hidden/>
    <w:uiPriority w:val="99"/>
    <w:semiHidden/>
    <w:rsid w:val="007D0A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6E9"/>
    <w:rPr>
      <w:color w:val="6B30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6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5BE0"/>
    <w:rPr>
      <w:color w:val="808080"/>
    </w:rPr>
  </w:style>
  <w:style w:type="paragraph" w:customStyle="1" w:styleId="TableText">
    <w:name w:val="Table Text"/>
    <w:uiPriority w:val="3"/>
    <w:qFormat/>
    <w:rsid w:val="00947D55"/>
    <w:pPr>
      <w:tabs>
        <w:tab w:val="left" w:pos="1980"/>
      </w:tabs>
      <w:spacing w:before="60" w:after="6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4"/>
    <w:qFormat/>
    <w:rsid w:val="00947D55"/>
    <w:pPr>
      <w:numPr>
        <w:numId w:val="1"/>
      </w:numPr>
    </w:pPr>
  </w:style>
  <w:style w:type="paragraph" w:customStyle="1" w:styleId="TableBullet2">
    <w:name w:val="Table Bullet 2"/>
    <w:basedOn w:val="TableText"/>
    <w:uiPriority w:val="4"/>
    <w:qFormat/>
    <w:rsid w:val="00947D55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6FA3-4CFD-4F02-B9A3-B4B540ED2496}"/>
      </w:docPartPr>
      <w:docPartBody>
        <w:p w:rsidR="00432191" w:rsidRDefault="00CD1262">
          <w:r w:rsidRPr="00B869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9A5C1DAB34D77AE3992262237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8471-756B-4007-9247-100ACCF75DDF}"/>
      </w:docPartPr>
      <w:docPartBody>
        <w:p w:rsidR="00432191" w:rsidRDefault="00CD1262" w:rsidP="00CD1262">
          <w:pPr>
            <w:pStyle w:val="A909A5C1DAB34D77AE39922622372304"/>
          </w:pPr>
          <w:r w:rsidRPr="00B869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2"/>
    <w:rsid w:val="00432191"/>
    <w:rsid w:val="009064F6"/>
    <w:rsid w:val="00C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262"/>
    <w:rPr>
      <w:color w:val="808080"/>
    </w:rPr>
  </w:style>
  <w:style w:type="paragraph" w:customStyle="1" w:styleId="A909A5C1DAB34D77AE39922622372304">
    <w:name w:val="A909A5C1DAB34D77AE39922622372304"/>
    <w:rsid w:val="00CD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AEMO 2022 arial nova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Arial Nova">
      <a:majorFont>
        <a:latin typeface="Century Gothic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1B19A6F8E4CB6247B85D02D2E90B7870" ma:contentTypeVersion="4" ma:contentTypeDescription="" ma:contentTypeScope="" ma:versionID="192a6d455fd99a07c986622fb0996e4c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d68f7543a35c08bd1d5d11d14fdc0ebd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1aaa4e7-f0c7-4ad0-ba93-12b5ab1910f5}" ma:internalName="TaxCatchAll" ma:showField="CatchAllData" ma:web="1ec8bf9b-3fea-41e4-8a05-a9f1b4ccb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1aaa4e7-f0c7-4ad0-ba93-12b5ab1910f5}" ma:internalName="TaxCatchAllLabel" ma:readOnly="true" ma:showField="CatchAllDataLabel" ma:web="1ec8bf9b-3fea-41e4-8a05-a9f1b4ccb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KeywordTaxHTField xmlns="5d1a2284-45bc-4927-a9f9-e51f9f17c21a">
      <Terms xmlns="http://schemas.microsoft.com/office/infopath/2007/PartnerControls"/>
    </TaxKeywordTaxHTField>
    <fc36bc6de0bf403e9ed4dec84c72e21e xmlns="5d1a2284-45bc-4927-a9f9-e51f9f17c21a">
      <Terms xmlns="http://schemas.microsoft.com/office/infopath/2007/PartnerControls"/>
    </fc36bc6de0bf403e9ed4dec84c72e21e>
  </documentManagement>
</p:properties>
</file>

<file path=customXml/itemProps1.xml><?xml version="1.0" encoding="utf-8"?>
<ds:datastoreItem xmlns:ds="http://schemas.openxmlformats.org/officeDocument/2006/customXml" ds:itemID="{F8298AED-66D5-4B11-B46C-4BF1A0EE9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01074-7E6F-4B56-99F7-1EAC850496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9D5462-D4AD-4227-9B60-0A3E4CC7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7D3B0-304C-42EF-A8AC-77BFFC9C59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B69DC7-E60D-441E-B21D-0D6DC4F8DE4A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Marinelli</dc:creator>
  <cp:keywords/>
  <dc:description>Organisation name</dc:description>
  <cp:lastModifiedBy>Zach Geale</cp:lastModifiedBy>
  <cp:revision>27</cp:revision>
  <dcterms:created xsi:type="dcterms:W3CDTF">2023-03-13T23:21:00Z</dcterms:created>
  <dcterms:modified xsi:type="dcterms:W3CDTF">2023-04-04T00:28:00Z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2023-02-28T04:41:35Z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6464c770-ebee-4e59-b98b-855faeed5df8</vt:lpwstr>
  </property>
  <property fmtid="{D5CDD505-2E9C-101B-9397-08002B2CF9AE}" pid="8" name="MSIP_Label_c1941c47-a837-430d-8559-fd118a72769e_ContentBits">
    <vt:lpwstr>0</vt:lpwstr>
  </property>
  <property fmtid="{D5CDD505-2E9C-101B-9397-08002B2CF9AE}" pid="9" name="TaxKeyword">
    <vt:lpwstr/>
  </property>
  <property fmtid="{D5CDD505-2E9C-101B-9397-08002B2CF9AE}" pid="10" name="ContentTypeId">
    <vt:lpwstr>0x0101002F0B48F8F4F7904196E710056827A096001B19A6F8E4CB6247B85D02D2E90B7870</vt:lpwstr>
  </property>
  <property fmtid="{D5CDD505-2E9C-101B-9397-08002B2CF9AE}" pid="11" name="AEMO Collaboration Document Type">
    <vt:lpwstr/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