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8C08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2222D258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CEC3FB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55A08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FC52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FDA06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FE6CA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9BEE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1D8E4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E7BE5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7ED2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65D9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55A705" w14:textId="77777777" w:rsidR="002F2D5D" w:rsidRPr="002F2D5D" w:rsidRDefault="002F2D5D" w:rsidP="002F2D5D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 w:rsidRPr="002F2D5D">
        <w:rPr>
          <w:rFonts w:ascii="Arial" w:hAnsi="Arial" w:cs="Arial"/>
          <w:color w:val="ED7D31"/>
          <w:sz w:val="48"/>
          <w:szCs w:val="48"/>
        </w:rPr>
        <w:t xml:space="preserve">FIVE MINUTE SETTLEMENT – </w:t>
      </w:r>
    </w:p>
    <w:p w14:paraId="62F52230" w14:textId="4819EA77" w:rsidR="009A260E" w:rsidRPr="003A3033" w:rsidRDefault="00FC2BA7" w:rsidP="002F2D5D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 xml:space="preserve">NEM Settlement </w:t>
      </w:r>
      <w:r w:rsidR="00040176">
        <w:rPr>
          <w:rFonts w:ascii="Arial" w:hAnsi="Arial" w:cs="Arial"/>
          <w:color w:val="ED7D31"/>
          <w:sz w:val="48"/>
          <w:szCs w:val="48"/>
        </w:rPr>
        <w:t>Revisions</w:t>
      </w:r>
      <w:r>
        <w:rPr>
          <w:rFonts w:ascii="Arial" w:hAnsi="Arial" w:cs="Arial"/>
          <w:color w:val="ED7D31"/>
          <w:sz w:val="48"/>
          <w:szCs w:val="48"/>
        </w:rPr>
        <w:t xml:space="preserve"> Policy </w:t>
      </w:r>
      <w:r>
        <w:rPr>
          <w:rFonts w:ascii="Arial" w:hAnsi="Arial" w:cs="Arial"/>
          <w:color w:val="ED7D31"/>
          <w:sz w:val="48"/>
          <w:szCs w:val="48"/>
        </w:rPr>
        <w:tab/>
        <w:t>Changes</w:t>
      </w:r>
    </w:p>
    <w:p w14:paraId="712D6E31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76E93712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6BF2B5AE" w14:textId="77777777" w:rsidR="00C62FA2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PROCEDURE CONSULTATION</w:t>
      </w:r>
    </w:p>
    <w:p w14:paraId="5930D60F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190F569" w14:textId="77777777" w:rsidR="001C4CCA" w:rsidRDefault="009A260E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FIRST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STAGE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238F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47800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0731A2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507EA65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2BB7F6A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7EA6A8" w14:textId="77777777" w:rsidR="00C62FA2" w:rsidRPr="00D352D8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 w:rsidR="00D352D8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[add participant name]</w:t>
      </w:r>
    </w:p>
    <w:p w14:paraId="54CC5F22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3F6A8EF7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FB7DFB" w14:textId="77777777" w:rsidR="00C62FA2" w:rsidRDefault="00C83277" w:rsidP="00D352D8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D352D8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 xml:space="preserve"> [dd/mm/</w:t>
      </w:r>
      <w:proofErr w:type="spellStart"/>
      <w:r w:rsidR="00D352D8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yyyy</w:t>
      </w:r>
      <w:proofErr w:type="spellEnd"/>
      <w:r w:rsidR="00D352D8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]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4C1D07B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BE93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28F98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F8C1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213CF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9FE3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6A47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4579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52FD5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5CDC4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EFB1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6D264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6323B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5E628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F775E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728E4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C953E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A550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07742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68BBFBBC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0EB5568F" w14:textId="77777777" w:rsidR="00E33744" w:rsidRDefault="00E33744">
      <w:pPr>
        <w:rPr>
          <w:b/>
          <w:bCs/>
          <w:noProof/>
        </w:rPr>
      </w:pPr>
    </w:p>
    <w:p w14:paraId="5DC657B5" w14:textId="77777777" w:rsidR="008131CE" w:rsidRDefault="008131CE">
      <w:pPr>
        <w:rPr>
          <w:b/>
          <w:bCs/>
          <w:noProof/>
        </w:rPr>
      </w:pPr>
    </w:p>
    <w:p w14:paraId="1D1F9798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600757B7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5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3EE41B44" w14:textId="00E7E24A" w:rsidR="00040176" w:rsidRPr="00040176" w:rsidRDefault="00040176" w:rsidP="00A07AD4">
      <w:pPr>
        <w:pStyle w:val="Heading1"/>
      </w:pPr>
      <w:r w:rsidRPr="00040176">
        <w:rPr>
          <w:rFonts w:cs="Arial"/>
        </w:rPr>
        <w:lastRenderedPageBreak/>
        <w:t>Potential effect of Five-Minute Settlement</w:t>
      </w:r>
    </w:p>
    <w:p w14:paraId="31166AAE" w14:textId="77777777" w:rsidR="00712A11" w:rsidRPr="00712A11" w:rsidRDefault="00D352D8" w:rsidP="00712A11">
      <w:r>
        <w:tab/>
        <w:t>This refers to section 3.1 of the consultation paper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214"/>
      </w:tblGrid>
      <w:tr w:rsidR="002F2D5D" w:rsidRPr="003A572C" w14:paraId="3ADA1145" w14:textId="77777777" w:rsidTr="00712A11">
        <w:trPr>
          <w:tblHeader/>
        </w:trPr>
        <w:tc>
          <w:tcPr>
            <w:tcW w:w="3827" w:type="dxa"/>
            <w:shd w:val="clear" w:color="auto" w:fill="D9D9D9"/>
          </w:tcPr>
          <w:p w14:paraId="44076D8D" w14:textId="77777777" w:rsidR="002F2D5D" w:rsidRPr="0025000B" w:rsidRDefault="002F2D5D" w:rsidP="008C7EE4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Heading</w:t>
            </w:r>
          </w:p>
        </w:tc>
        <w:tc>
          <w:tcPr>
            <w:tcW w:w="9214" w:type="dxa"/>
            <w:shd w:val="clear" w:color="auto" w:fill="D9D9D9"/>
          </w:tcPr>
          <w:p w14:paraId="6C0299FB" w14:textId="77777777" w:rsidR="002F2D5D" w:rsidRDefault="002F2D5D" w:rsidP="008C7EE4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2F2D5D" w:rsidRPr="0080115B" w14:paraId="5BEA7FCD" w14:textId="77777777" w:rsidTr="00712A11">
        <w:tc>
          <w:tcPr>
            <w:tcW w:w="3827" w:type="dxa"/>
            <w:shd w:val="clear" w:color="auto" w:fill="auto"/>
          </w:tcPr>
          <w:p w14:paraId="5AD54ADF" w14:textId="426484D4" w:rsidR="002F2D5D" w:rsidRPr="00040176" w:rsidRDefault="00040176" w:rsidP="0004017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040176">
              <w:rPr>
                <w:rFonts w:ascii="Arial" w:hAnsi="Arial" w:cs="Arial"/>
                <w:bCs/>
                <w:color w:val="1E4164"/>
                <w:lang w:eastAsia="en-US"/>
              </w:rPr>
              <w:t>Do participants agree with the proposed changes to the Policy in relation to 5MS?</w:t>
            </w:r>
          </w:p>
        </w:tc>
        <w:tc>
          <w:tcPr>
            <w:tcW w:w="9214" w:type="dxa"/>
          </w:tcPr>
          <w:p w14:paraId="43A63FCD" w14:textId="77777777" w:rsidR="00D352D8" w:rsidRPr="000B07D9" w:rsidRDefault="00D352D8" w:rsidP="00D352D8">
            <w:pPr>
              <w:pStyle w:val="TableTitle"/>
              <w:spacing w:before="120" w:after="120"/>
              <w:contextualSpacing/>
              <w:rPr>
                <w:b w:val="0"/>
                <w:color w:val="1E4164"/>
                <w:sz w:val="22"/>
                <w:szCs w:val="22"/>
              </w:rPr>
            </w:pPr>
          </w:p>
        </w:tc>
      </w:tr>
      <w:tr w:rsidR="004478E7" w:rsidRPr="0080115B" w14:paraId="26F292D5" w14:textId="77777777" w:rsidTr="00712A11">
        <w:tc>
          <w:tcPr>
            <w:tcW w:w="3827" w:type="dxa"/>
            <w:shd w:val="clear" w:color="auto" w:fill="auto"/>
          </w:tcPr>
          <w:p w14:paraId="71E70CAB" w14:textId="2782E61F" w:rsidR="004478E7" w:rsidRPr="00040176" w:rsidRDefault="00040176" w:rsidP="0004017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040176">
              <w:rPr>
                <w:rFonts w:ascii="Arial" w:hAnsi="Arial" w:cs="Arial"/>
                <w:bCs/>
                <w:color w:val="1E4164"/>
                <w:lang w:eastAsia="en-US"/>
              </w:rPr>
              <w:t>Are there other relevant issues that have not been considered?</w:t>
            </w:r>
          </w:p>
        </w:tc>
        <w:tc>
          <w:tcPr>
            <w:tcW w:w="9214" w:type="dxa"/>
          </w:tcPr>
          <w:p w14:paraId="47DDE6F8" w14:textId="77777777" w:rsidR="004478E7" w:rsidRPr="00E8425D" w:rsidRDefault="004478E7" w:rsidP="00FF02B6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040176" w:rsidRPr="0080115B" w14:paraId="2EB1CB89" w14:textId="77777777" w:rsidTr="00712A11">
        <w:tc>
          <w:tcPr>
            <w:tcW w:w="3827" w:type="dxa"/>
            <w:shd w:val="clear" w:color="auto" w:fill="auto"/>
          </w:tcPr>
          <w:p w14:paraId="751E45CA" w14:textId="79BE2742" w:rsidR="00040176" w:rsidRPr="00040176" w:rsidRDefault="00040176" w:rsidP="0004017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040176">
              <w:rPr>
                <w:rFonts w:ascii="Arial" w:hAnsi="Arial" w:cs="Arial"/>
                <w:bCs/>
                <w:color w:val="1E4164"/>
                <w:lang w:eastAsia="en-US"/>
              </w:rPr>
              <w:t>What is an alternative approach to updating the Policy in relation to 5MS? How would it be implemented?</w:t>
            </w:r>
          </w:p>
        </w:tc>
        <w:tc>
          <w:tcPr>
            <w:tcW w:w="9214" w:type="dxa"/>
          </w:tcPr>
          <w:p w14:paraId="256855D6" w14:textId="77777777" w:rsidR="00040176" w:rsidRPr="00E8425D" w:rsidRDefault="00040176" w:rsidP="00FF02B6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42F7CDF2" w14:textId="77777777" w:rsidR="00D352D8" w:rsidRDefault="00D352D8" w:rsidP="00D352D8">
      <w:pPr>
        <w:pStyle w:val="Heading1"/>
        <w:numPr>
          <w:ilvl w:val="0"/>
          <w:numId w:val="0"/>
        </w:numPr>
        <w:ind w:left="720"/>
        <w:rPr>
          <w:rFonts w:cs="Arial"/>
        </w:rPr>
      </w:pPr>
    </w:p>
    <w:p w14:paraId="37A48B37" w14:textId="6441B65B" w:rsidR="00D352D8" w:rsidRDefault="00D352D8" w:rsidP="00D352D8"/>
    <w:p w14:paraId="47FDA649" w14:textId="68E12791" w:rsidR="00B37405" w:rsidRDefault="00B37405" w:rsidP="00D352D8"/>
    <w:p w14:paraId="20B7D8D8" w14:textId="480690EA" w:rsidR="00B37405" w:rsidRDefault="00B37405" w:rsidP="00D352D8"/>
    <w:p w14:paraId="3EF22E8F" w14:textId="77777777" w:rsidR="00B37405" w:rsidRDefault="00B37405" w:rsidP="00D352D8"/>
    <w:p w14:paraId="1A397A97" w14:textId="650BE4E4" w:rsidR="00D352D8" w:rsidRPr="00040176" w:rsidRDefault="00040176" w:rsidP="00040176">
      <w:pPr>
        <w:pStyle w:val="Heading1"/>
        <w:rPr>
          <w:rFonts w:cs="Arial"/>
        </w:rPr>
      </w:pPr>
      <w:r w:rsidRPr="00040176">
        <w:rPr>
          <w:rFonts w:cs="Arial"/>
        </w:rPr>
        <w:lastRenderedPageBreak/>
        <w:t>Potential effect of Global Settlement</w:t>
      </w:r>
    </w:p>
    <w:p w14:paraId="2A20C1D5" w14:textId="77777777" w:rsidR="00D352D8" w:rsidRPr="00712A11" w:rsidRDefault="00D352D8" w:rsidP="00D352D8">
      <w:r>
        <w:tab/>
        <w:t>This refers to section 3.2 of the consultation paper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214"/>
      </w:tblGrid>
      <w:tr w:rsidR="00D352D8" w:rsidRPr="003A572C" w14:paraId="7938DDAC" w14:textId="77777777" w:rsidTr="00984041">
        <w:trPr>
          <w:tblHeader/>
        </w:trPr>
        <w:tc>
          <w:tcPr>
            <w:tcW w:w="3827" w:type="dxa"/>
            <w:shd w:val="clear" w:color="auto" w:fill="D9D9D9"/>
          </w:tcPr>
          <w:p w14:paraId="45B8CD17" w14:textId="77777777" w:rsidR="00D352D8" w:rsidRPr="0025000B" w:rsidRDefault="00D352D8" w:rsidP="00984041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Heading</w:t>
            </w:r>
          </w:p>
        </w:tc>
        <w:tc>
          <w:tcPr>
            <w:tcW w:w="9214" w:type="dxa"/>
            <w:shd w:val="clear" w:color="auto" w:fill="D9D9D9"/>
          </w:tcPr>
          <w:p w14:paraId="5DA0B47C" w14:textId="77777777" w:rsidR="00D352D8" w:rsidRDefault="00D352D8" w:rsidP="00984041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D352D8" w:rsidRPr="0080115B" w14:paraId="69168EF9" w14:textId="77777777" w:rsidTr="00984041">
        <w:tc>
          <w:tcPr>
            <w:tcW w:w="3827" w:type="dxa"/>
            <w:shd w:val="clear" w:color="auto" w:fill="auto"/>
          </w:tcPr>
          <w:p w14:paraId="159D0D84" w14:textId="4B63CC36" w:rsidR="00D352D8" w:rsidRPr="00040176" w:rsidRDefault="00040176" w:rsidP="0004017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040176">
              <w:rPr>
                <w:rFonts w:ascii="Arial" w:hAnsi="Arial" w:cs="Arial"/>
                <w:bCs/>
                <w:color w:val="1E4164"/>
                <w:lang w:eastAsia="en-US"/>
              </w:rPr>
              <w:t>Do participants agree with the proposed changes to the Policy in relation to Global Settlement?</w:t>
            </w:r>
          </w:p>
        </w:tc>
        <w:tc>
          <w:tcPr>
            <w:tcW w:w="9214" w:type="dxa"/>
          </w:tcPr>
          <w:p w14:paraId="451C4882" w14:textId="77777777" w:rsidR="00D352D8" w:rsidRPr="00E8425D" w:rsidRDefault="00D352D8" w:rsidP="00984041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D352D8" w:rsidRPr="0080115B" w14:paraId="6A94D564" w14:textId="77777777" w:rsidTr="00040176">
        <w:tc>
          <w:tcPr>
            <w:tcW w:w="3827" w:type="dxa"/>
            <w:shd w:val="clear" w:color="auto" w:fill="auto"/>
          </w:tcPr>
          <w:p w14:paraId="2177C7F1" w14:textId="3C020F5A" w:rsidR="00D352D8" w:rsidRPr="00D34F53" w:rsidRDefault="00D34F53" w:rsidP="0004017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D34F53">
              <w:rPr>
                <w:rFonts w:ascii="Arial" w:hAnsi="Arial" w:cs="Arial"/>
                <w:bCs/>
                <w:color w:val="1E4164"/>
                <w:lang w:eastAsia="en-US"/>
              </w:rPr>
              <w:t>Are there other relevant issues that have not been considered?</w:t>
            </w:r>
          </w:p>
        </w:tc>
        <w:tc>
          <w:tcPr>
            <w:tcW w:w="9214" w:type="dxa"/>
          </w:tcPr>
          <w:p w14:paraId="0B3E2818" w14:textId="77777777" w:rsidR="00D352D8" w:rsidRPr="00E8425D" w:rsidRDefault="00D352D8" w:rsidP="00984041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D352D8" w:rsidRPr="0080115B" w14:paraId="22D773E6" w14:textId="77777777" w:rsidTr="00984041">
        <w:tc>
          <w:tcPr>
            <w:tcW w:w="3827" w:type="dxa"/>
            <w:shd w:val="clear" w:color="auto" w:fill="auto"/>
          </w:tcPr>
          <w:p w14:paraId="6ACB51C4" w14:textId="154A6A2C" w:rsidR="00D352D8" w:rsidRPr="000B07D9" w:rsidRDefault="00040176" w:rsidP="00984041">
            <w:pPr>
              <w:pStyle w:val="TableTitle"/>
              <w:numPr>
                <w:ilvl w:val="0"/>
                <w:numId w:val="22"/>
              </w:numPr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  <w:r w:rsidRPr="00040176">
              <w:rPr>
                <w:b w:val="0"/>
                <w:color w:val="1E4164"/>
                <w:sz w:val="22"/>
                <w:szCs w:val="22"/>
              </w:rPr>
              <w:t>What is an alternative approach to updating the Policy in relation to Global Settlement? How would it be implemented?</w:t>
            </w:r>
          </w:p>
        </w:tc>
        <w:tc>
          <w:tcPr>
            <w:tcW w:w="9214" w:type="dxa"/>
          </w:tcPr>
          <w:p w14:paraId="150CB063" w14:textId="77777777" w:rsidR="00D352D8" w:rsidRPr="00E8425D" w:rsidRDefault="00D352D8" w:rsidP="00984041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3E85FF4B" w14:textId="77777777" w:rsidR="00D352D8" w:rsidRDefault="00D352D8" w:rsidP="00F01A06"/>
    <w:p w14:paraId="359FB7B0" w14:textId="0EA46D1F" w:rsidR="00D352D8" w:rsidRPr="00040176" w:rsidRDefault="00D352D8" w:rsidP="00040176">
      <w:pPr>
        <w:pStyle w:val="Heading1"/>
        <w:rPr>
          <w:rFonts w:cs="Arial"/>
        </w:rPr>
      </w:pPr>
      <w:r>
        <w:br w:type="page"/>
      </w:r>
      <w:r w:rsidR="00040176" w:rsidRPr="00040176">
        <w:rPr>
          <w:rFonts w:cs="Arial"/>
        </w:rPr>
        <w:lastRenderedPageBreak/>
        <w:t>Other Amendments</w:t>
      </w:r>
    </w:p>
    <w:p w14:paraId="4B56B3CD" w14:textId="77777777" w:rsidR="00D352D8" w:rsidRPr="00712A11" w:rsidRDefault="00D352D8" w:rsidP="00D352D8">
      <w:r>
        <w:tab/>
        <w:t>This refers to section 3.3 of the consultation paper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214"/>
      </w:tblGrid>
      <w:tr w:rsidR="00D352D8" w:rsidRPr="003A572C" w14:paraId="353F28DA" w14:textId="77777777" w:rsidTr="00984041">
        <w:trPr>
          <w:tblHeader/>
        </w:trPr>
        <w:tc>
          <w:tcPr>
            <w:tcW w:w="3827" w:type="dxa"/>
            <w:shd w:val="clear" w:color="auto" w:fill="D9D9D9"/>
          </w:tcPr>
          <w:p w14:paraId="583CA9A5" w14:textId="77777777" w:rsidR="00D352D8" w:rsidRPr="0025000B" w:rsidRDefault="00D352D8" w:rsidP="00984041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Heading</w:t>
            </w:r>
          </w:p>
        </w:tc>
        <w:tc>
          <w:tcPr>
            <w:tcW w:w="9214" w:type="dxa"/>
            <w:shd w:val="clear" w:color="auto" w:fill="D9D9D9"/>
          </w:tcPr>
          <w:p w14:paraId="2A45078B" w14:textId="77777777" w:rsidR="00D352D8" w:rsidRDefault="00D352D8" w:rsidP="00984041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D352D8" w:rsidRPr="0080115B" w14:paraId="39819DAC" w14:textId="77777777" w:rsidTr="00984041">
        <w:tc>
          <w:tcPr>
            <w:tcW w:w="3827" w:type="dxa"/>
            <w:shd w:val="clear" w:color="auto" w:fill="auto"/>
          </w:tcPr>
          <w:p w14:paraId="530F065D" w14:textId="0726B362" w:rsidR="00D352D8" w:rsidRPr="00040176" w:rsidRDefault="00040176" w:rsidP="0004017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040176">
              <w:rPr>
                <w:rFonts w:ascii="Arial" w:hAnsi="Arial" w:cs="Arial"/>
                <w:bCs/>
                <w:color w:val="1E4164"/>
                <w:lang w:eastAsia="en-US"/>
              </w:rPr>
              <w:t>Do participants agree with the proposed changes to the Policy?</w:t>
            </w:r>
          </w:p>
        </w:tc>
        <w:tc>
          <w:tcPr>
            <w:tcW w:w="9214" w:type="dxa"/>
          </w:tcPr>
          <w:p w14:paraId="02740F75" w14:textId="77777777" w:rsidR="00D352D8" w:rsidRPr="00E8425D" w:rsidRDefault="00D352D8" w:rsidP="00984041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D352D8" w:rsidRPr="0080115B" w14:paraId="4CE0D7F6" w14:textId="77777777" w:rsidTr="00984041">
        <w:tc>
          <w:tcPr>
            <w:tcW w:w="3827" w:type="dxa"/>
            <w:shd w:val="clear" w:color="auto" w:fill="auto"/>
          </w:tcPr>
          <w:p w14:paraId="3C8AA2BC" w14:textId="5861B199" w:rsidR="00D352D8" w:rsidRPr="00D34F53" w:rsidRDefault="00D34F53" w:rsidP="00D34F5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D34F53">
              <w:rPr>
                <w:rFonts w:ascii="Arial" w:hAnsi="Arial" w:cs="Arial"/>
                <w:bCs/>
                <w:color w:val="1E4164"/>
                <w:lang w:eastAsia="en-US"/>
              </w:rPr>
              <w:t>Are there other relevant issues that have not been considered?</w:t>
            </w:r>
          </w:p>
        </w:tc>
        <w:tc>
          <w:tcPr>
            <w:tcW w:w="9214" w:type="dxa"/>
          </w:tcPr>
          <w:p w14:paraId="2D91C936" w14:textId="77777777" w:rsidR="00D352D8" w:rsidRPr="00E8425D" w:rsidRDefault="00D352D8" w:rsidP="00984041">
            <w:pPr>
              <w:spacing w:before="120" w:after="120"/>
              <w:rPr>
                <w:rFonts w:cs="Arial"/>
                <w:color w:val="1E4164"/>
              </w:rPr>
            </w:pPr>
            <w:bookmarkStart w:id="0" w:name="_GoBack"/>
            <w:bookmarkEnd w:id="0"/>
          </w:p>
        </w:tc>
      </w:tr>
    </w:tbl>
    <w:p w14:paraId="5E903009" w14:textId="0F538B20" w:rsidR="009877DB" w:rsidRDefault="009877DB" w:rsidP="00F01A06"/>
    <w:p w14:paraId="130CF8A2" w14:textId="337E6B97" w:rsidR="00EC51A9" w:rsidRPr="00F01A06" w:rsidRDefault="00EC51A9" w:rsidP="00040176">
      <w:pPr>
        <w:spacing w:after="0" w:line="240" w:lineRule="auto"/>
      </w:pPr>
    </w:p>
    <w:sectPr w:rsidR="00EC51A9" w:rsidRPr="00F01A06" w:rsidSect="00276151">
      <w:headerReference w:type="default" r:id="rId16"/>
      <w:footerReference w:type="default" r:id="rId17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B28E5" w14:textId="77777777" w:rsidR="00AA545D" w:rsidRDefault="00AA545D">
      <w:pPr>
        <w:spacing w:after="0" w:line="240" w:lineRule="auto"/>
      </w:pPr>
      <w:r>
        <w:separator/>
      </w:r>
    </w:p>
  </w:endnote>
  <w:endnote w:type="continuationSeparator" w:id="0">
    <w:p w14:paraId="160962CA" w14:textId="77777777" w:rsidR="00AA545D" w:rsidRDefault="00AA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5681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163955B4" w14:textId="77777777" w:rsidR="00CF6301" w:rsidRPr="00CF2090" w:rsidRDefault="00CF6301" w:rsidP="002F7A2B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 w:rsidR="000F6BBC">
      <w:rPr>
        <w:noProof/>
      </w:rPr>
      <w:fldChar w:fldCharType="begin"/>
    </w:r>
    <w:r w:rsidR="000F6BBC">
      <w:rPr>
        <w:noProof/>
      </w:rPr>
      <w:instrText xml:space="preserve"> NUMPAGES  </w:instrText>
    </w:r>
    <w:r w:rsidR="000F6BBC">
      <w:rPr>
        <w:noProof/>
      </w:rPr>
      <w:fldChar w:fldCharType="separate"/>
    </w:r>
    <w:r w:rsidR="00134220">
      <w:rPr>
        <w:noProof/>
      </w:rPr>
      <w:t>9</w:t>
    </w:r>
    <w:r w:rsidR="000F6BBC">
      <w:rPr>
        <w:noProof/>
      </w:rPr>
      <w:fldChar w:fldCharType="end"/>
    </w:r>
  </w:p>
  <w:p w14:paraId="30998EC4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D5484" w14:textId="77777777" w:rsidR="00AA545D" w:rsidRDefault="00AA545D">
      <w:pPr>
        <w:spacing w:after="0" w:line="240" w:lineRule="auto"/>
      </w:pPr>
      <w:r>
        <w:separator/>
      </w:r>
    </w:p>
  </w:footnote>
  <w:footnote w:type="continuationSeparator" w:id="0">
    <w:p w14:paraId="4DEF9EE6" w14:textId="77777777" w:rsidR="00AA545D" w:rsidRDefault="00AA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A44D" w14:textId="77777777" w:rsidR="009A260E" w:rsidRDefault="009A260E">
    <w:pPr>
      <w:pStyle w:val="Header"/>
    </w:pPr>
  </w:p>
  <w:p w14:paraId="04DFE216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BAE6" w14:textId="55030F1C" w:rsidR="00CF6301" w:rsidRDefault="002F2D5D" w:rsidP="008131CE">
    <w:pPr>
      <w:pStyle w:val="Header"/>
      <w:pBdr>
        <w:bottom w:val="single" w:sz="6" w:space="1" w:color="auto"/>
      </w:pBdr>
    </w:pPr>
    <w:r>
      <w:t xml:space="preserve">Five Minute Settlement </w:t>
    </w:r>
    <w:r w:rsidR="00FC2BA7">
      <w:t>–</w:t>
    </w:r>
    <w:r>
      <w:t xml:space="preserve"> </w:t>
    </w:r>
    <w:r w:rsidR="00FC2BA7">
      <w:t xml:space="preserve">NEM Settlement </w:t>
    </w:r>
    <w:r w:rsidR="00B37405">
      <w:t>Revisions</w:t>
    </w:r>
    <w:r w:rsidR="00FC2BA7"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" w15:restartNumberingAfterBreak="0">
    <w:nsid w:val="245917BD"/>
    <w:multiLevelType w:val="hybridMultilevel"/>
    <w:tmpl w:val="5CFCBCC4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326E8"/>
    <w:multiLevelType w:val="hybridMultilevel"/>
    <w:tmpl w:val="26421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hideGrammaticalErrors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272C2"/>
    <w:rsid w:val="00033DE4"/>
    <w:rsid w:val="000379D2"/>
    <w:rsid w:val="00040176"/>
    <w:rsid w:val="000450D6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B07D9"/>
    <w:rsid w:val="000B2F70"/>
    <w:rsid w:val="000B409D"/>
    <w:rsid w:val="000C4182"/>
    <w:rsid w:val="000D6BEB"/>
    <w:rsid w:val="000F32EF"/>
    <w:rsid w:val="000F6BBC"/>
    <w:rsid w:val="001002C2"/>
    <w:rsid w:val="00103ECF"/>
    <w:rsid w:val="00106E02"/>
    <w:rsid w:val="00117617"/>
    <w:rsid w:val="00134220"/>
    <w:rsid w:val="00135569"/>
    <w:rsid w:val="00141082"/>
    <w:rsid w:val="00144769"/>
    <w:rsid w:val="00152F25"/>
    <w:rsid w:val="00164FC9"/>
    <w:rsid w:val="001654CB"/>
    <w:rsid w:val="001720B4"/>
    <w:rsid w:val="0017755A"/>
    <w:rsid w:val="0019191C"/>
    <w:rsid w:val="0019276B"/>
    <w:rsid w:val="00193911"/>
    <w:rsid w:val="00194969"/>
    <w:rsid w:val="001A16B6"/>
    <w:rsid w:val="001A2989"/>
    <w:rsid w:val="001A3E53"/>
    <w:rsid w:val="001B26C6"/>
    <w:rsid w:val="001B3A3F"/>
    <w:rsid w:val="001B5B75"/>
    <w:rsid w:val="001C1FBB"/>
    <w:rsid w:val="001C4CCA"/>
    <w:rsid w:val="001C7FD0"/>
    <w:rsid w:val="001D405F"/>
    <w:rsid w:val="001E2F48"/>
    <w:rsid w:val="001E7027"/>
    <w:rsid w:val="001F1025"/>
    <w:rsid w:val="001F6570"/>
    <w:rsid w:val="00204025"/>
    <w:rsid w:val="0021347D"/>
    <w:rsid w:val="002227B8"/>
    <w:rsid w:val="00224197"/>
    <w:rsid w:val="00225F0E"/>
    <w:rsid w:val="00230A66"/>
    <w:rsid w:val="00231433"/>
    <w:rsid w:val="0023507E"/>
    <w:rsid w:val="002402B2"/>
    <w:rsid w:val="00244008"/>
    <w:rsid w:val="0025000B"/>
    <w:rsid w:val="00260F85"/>
    <w:rsid w:val="00270564"/>
    <w:rsid w:val="00273549"/>
    <w:rsid w:val="00276151"/>
    <w:rsid w:val="00281FF9"/>
    <w:rsid w:val="0029406F"/>
    <w:rsid w:val="002B139E"/>
    <w:rsid w:val="002E023E"/>
    <w:rsid w:val="002E0A1A"/>
    <w:rsid w:val="002E34EF"/>
    <w:rsid w:val="002E5779"/>
    <w:rsid w:val="002E7A1B"/>
    <w:rsid w:val="002F0860"/>
    <w:rsid w:val="002F2D5D"/>
    <w:rsid w:val="002F70DC"/>
    <w:rsid w:val="002F7A2B"/>
    <w:rsid w:val="00304765"/>
    <w:rsid w:val="0033342E"/>
    <w:rsid w:val="00335E96"/>
    <w:rsid w:val="00346C18"/>
    <w:rsid w:val="00351A9A"/>
    <w:rsid w:val="003643DF"/>
    <w:rsid w:val="0038159F"/>
    <w:rsid w:val="00383589"/>
    <w:rsid w:val="00387B59"/>
    <w:rsid w:val="003964BF"/>
    <w:rsid w:val="003A0997"/>
    <w:rsid w:val="003A1905"/>
    <w:rsid w:val="003A3033"/>
    <w:rsid w:val="003A7CFA"/>
    <w:rsid w:val="003C66E9"/>
    <w:rsid w:val="003C6EA8"/>
    <w:rsid w:val="003D57A6"/>
    <w:rsid w:val="003D7F7B"/>
    <w:rsid w:val="003E7DC8"/>
    <w:rsid w:val="0040105B"/>
    <w:rsid w:val="00402EBA"/>
    <w:rsid w:val="00413E88"/>
    <w:rsid w:val="004179F0"/>
    <w:rsid w:val="004410F9"/>
    <w:rsid w:val="00443F55"/>
    <w:rsid w:val="004478E7"/>
    <w:rsid w:val="004546F5"/>
    <w:rsid w:val="00481A87"/>
    <w:rsid w:val="004847C6"/>
    <w:rsid w:val="0049729A"/>
    <w:rsid w:val="004B62FA"/>
    <w:rsid w:val="004C2CAC"/>
    <w:rsid w:val="004D0982"/>
    <w:rsid w:val="004E020E"/>
    <w:rsid w:val="004E2194"/>
    <w:rsid w:val="004E46FB"/>
    <w:rsid w:val="004E4853"/>
    <w:rsid w:val="004E6CA1"/>
    <w:rsid w:val="004E7AA5"/>
    <w:rsid w:val="004F5DE2"/>
    <w:rsid w:val="0050314F"/>
    <w:rsid w:val="00507E59"/>
    <w:rsid w:val="00511D11"/>
    <w:rsid w:val="00543F33"/>
    <w:rsid w:val="00554E33"/>
    <w:rsid w:val="00564C4F"/>
    <w:rsid w:val="00564FC9"/>
    <w:rsid w:val="005650F3"/>
    <w:rsid w:val="0057495B"/>
    <w:rsid w:val="00576B74"/>
    <w:rsid w:val="00583810"/>
    <w:rsid w:val="00590EB8"/>
    <w:rsid w:val="005A45D4"/>
    <w:rsid w:val="005A6FA3"/>
    <w:rsid w:val="005B7308"/>
    <w:rsid w:val="005C1FC7"/>
    <w:rsid w:val="005D4413"/>
    <w:rsid w:val="005E1A21"/>
    <w:rsid w:val="005E3F6F"/>
    <w:rsid w:val="005E6115"/>
    <w:rsid w:val="005F1AD6"/>
    <w:rsid w:val="005F3AA4"/>
    <w:rsid w:val="005F6C4F"/>
    <w:rsid w:val="005F74D0"/>
    <w:rsid w:val="00600E32"/>
    <w:rsid w:val="00603A64"/>
    <w:rsid w:val="0060444E"/>
    <w:rsid w:val="00620EEE"/>
    <w:rsid w:val="00622E76"/>
    <w:rsid w:val="00637742"/>
    <w:rsid w:val="006431A9"/>
    <w:rsid w:val="00654030"/>
    <w:rsid w:val="006700A7"/>
    <w:rsid w:val="006767BC"/>
    <w:rsid w:val="006806A2"/>
    <w:rsid w:val="00681FB9"/>
    <w:rsid w:val="00686B89"/>
    <w:rsid w:val="006A0850"/>
    <w:rsid w:val="006C7758"/>
    <w:rsid w:val="006D06A9"/>
    <w:rsid w:val="006D2C49"/>
    <w:rsid w:val="006E2CE3"/>
    <w:rsid w:val="006E514F"/>
    <w:rsid w:val="006E7700"/>
    <w:rsid w:val="006F1193"/>
    <w:rsid w:val="006F50CB"/>
    <w:rsid w:val="00700FE5"/>
    <w:rsid w:val="00710682"/>
    <w:rsid w:val="00712A11"/>
    <w:rsid w:val="00720C28"/>
    <w:rsid w:val="007304EB"/>
    <w:rsid w:val="00736A8B"/>
    <w:rsid w:val="0075565E"/>
    <w:rsid w:val="00756230"/>
    <w:rsid w:val="007601E3"/>
    <w:rsid w:val="00763AA9"/>
    <w:rsid w:val="00765109"/>
    <w:rsid w:val="0077140A"/>
    <w:rsid w:val="00777B01"/>
    <w:rsid w:val="0078368F"/>
    <w:rsid w:val="00786F1E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791F"/>
    <w:rsid w:val="007D7C9E"/>
    <w:rsid w:val="007E5496"/>
    <w:rsid w:val="007F289E"/>
    <w:rsid w:val="00804897"/>
    <w:rsid w:val="00807267"/>
    <w:rsid w:val="008115C9"/>
    <w:rsid w:val="00811B68"/>
    <w:rsid w:val="008131CE"/>
    <w:rsid w:val="008210CA"/>
    <w:rsid w:val="00834EFA"/>
    <w:rsid w:val="00846D09"/>
    <w:rsid w:val="00855C0C"/>
    <w:rsid w:val="0085781C"/>
    <w:rsid w:val="00864DDD"/>
    <w:rsid w:val="00864F1D"/>
    <w:rsid w:val="00865840"/>
    <w:rsid w:val="00866657"/>
    <w:rsid w:val="00876296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90230F"/>
    <w:rsid w:val="00905644"/>
    <w:rsid w:val="0090725D"/>
    <w:rsid w:val="00912951"/>
    <w:rsid w:val="009144E9"/>
    <w:rsid w:val="00916795"/>
    <w:rsid w:val="00923D4A"/>
    <w:rsid w:val="009346CA"/>
    <w:rsid w:val="009436AB"/>
    <w:rsid w:val="009443E9"/>
    <w:rsid w:val="00954862"/>
    <w:rsid w:val="00963229"/>
    <w:rsid w:val="009877DB"/>
    <w:rsid w:val="00997A0F"/>
    <w:rsid w:val="009A191D"/>
    <w:rsid w:val="009A1C1F"/>
    <w:rsid w:val="009A260E"/>
    <w:rsid w:val="009A419F"/>
    <w:rsid w:val="009C06BE"/>
    <w:rsid w:val="009C4F21"/>
    <w:rsid w:val="009D5656"/>
    <w:rsid w:val="009E1488"/>
    <w:rsid w:val="009F10FB"/>
    <w:rsid w:val="00A02D5B"/>
    <w:rsid w:val="00A13772"/>
    <w:rsid w:val="00A17E36"/>
    <w:rsid w:val="00A249FD"/>
    <w:rsid w:val="00A25249"/>
    <w:rsid w:val="00A47CCB"/>
    <w:rsid w:val="00A5410E"/>
    <w:rsid w:val="00A64814"/>
    <w:rsid w:val="00A717C1"/>
    <w:rsid w:val="00A83C07"/>
    <w:rsid w:val="00A8653E"/>
    <w:rsid w:val="00A92B48"/>
    <w:rsid w:val="00AA545D"/>
    <w:rsid w:val="00AB5F73"/>
    <w:rsid w:val="00AD16BE"/>
    <w:rsid w:val="00AD7079"/>
    <w:rsid w:val="00AF1202"/>
    <w:rsid w:val="00B00EEA"/>
    <w:rsid w:val="00B05244"/>
    <w:rsid w:val="00B12809"/>
    <w:rsid w:val="00B330F9"/>
    <w:rsid w:val="00B37405"/>
    <w:rsid w:val="00B401A2"/>
    <w:rsid w:val="00B56C83"/>
    <w:rsid w:val="00B72EDD"/>
    <w:rsid w:val="00B7794F"/>
    <w:rsid w:val="00B81E4B"/>
    <w:rsid w:val="00BA1B78"/>
    <w:rsid w:val="00BA1EBF"/>
    <w:rsid w:val="00BA200F"/>
    <w:rsid w:val="00BA3214"/>
    <w:rsid w:val="00BC65D0"/>
    <w:rsid w:val="00BF1389"/>
    <w:rsid w:val="00BF7CC4"/>
    <w:rsid w:val="00C03D75"/>
    <w:rsid w:val="00C130E1"/>
    <w:rsid w:val="00C25DA5"/>
    <w:rsid w:val="00C26A28"/>
    <w:rsid w:val="00C37A5C"/>
    <w:rsid w:val="00C41DED"/>
    <w:rsid w:val="00C62FA2"/>
    <w:rsid w:val="00C6681E"/>
    <w:rsid w:val="00C773F1"/>
    <w:rsid w:val="00C83277"/>
    <w:rsid w:val="00C87B46"/>
    <w:rsid w:val="00C9198F"/>
    <w:rsid w:val="00CA3098"/>
    <w:rsid w:val="00CB497B"/>
    <w:rsid w:val="00CB49D9"/>
    <w:rsid w:val="00CB4F64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3F88"/>
    <w:rsid w:val="00D25C85"/>
    <w:rsid w:val="00D3203E"/>
    <w:rsid w:val="00D32B4B"/>
    <w:rsid w:val="00D34AAD"/>
    <w:rsid w:val="00D34F53"/>
    <w:rsid w:val="00D352D8"/>
    <w:rsid w:val="00D40BD8"/>
    <w:rsid w:val="00D4400E"/>
    <w:rsid w:val="00D519C2"/>
    <w:rsid w:val="00D52D96"/>
    <w:rsid w:val="00D6187A"/>
    <w:rsid w:val="00D64021"/>
    <w:rsid w:val="00D67625"/>
    <w:rsid w:val="00D74E1E"/>
    <w:rsid w:val="00D76776"/>
    <w:rsid w:val="00D7752E"/>
    <w:rsid w:val="00D852CB"/>
    <w:rsid w:val="00D913F7"/>
    <w:rsid w:val="00DA585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46758"/>
    <w:rsid w:val="00E57B76"/>
    <w:rsid w:val="00E60700"/>
    <w:rsid w:val="00E6394C"/>
    <w:rsid w:val="00E67F11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B7E43"/>
    <w:rsid w:val="00EC06DE"/>
    <w:rsid w:val="00EC41EC"/>
    <w:rsid w:val="00EC51A9"/>
    <w:rsid w:val="00EC5C7C"/>
    <w:rsid w:val="00EE359B"/>
    <w:rsid w:val="00F007E1"/>
    <w:rsid w:val="00F01A06"/>
    <w:rsid w:val="00F03335"/>
    <w:rsid w:val="00F27F5E"/>
    <w:rsid w:val="00F317F6"/>
    <w:rsid w:val="00F42FD8"/>
    <w:rsid w:val="00F44B0C"/>
    <w:rsid w:val="00F521E2"/>
    <w:rsid w:val="00F54383"/>
    <w:rsid w:val="00F56F9C"/>
    <w:rsid w:val="00F61A5D"/>
    <w:rsid w:val="00F61EBD"/>
    <w:rsid w:val="00F64BD3"/>
    <w:rsid w:val="00F74B3F"/>
    <w:rsid w:val="00F94AFA"/>
    <w:rsid w:val="00FB7FCD"/>
    <w:rsid w:val="00FC1F69"/>
    <w:rsid w:val="00FC2BA7"/>
    <w:rsid w:val="00FC5E20"/>
    <w:rsid w:val="00FC699E"/>
    <w:rsid w:val="00FD505A"/>
    <w:rsid w:val="00FE3DC3"/>
    <w:rsid w:val="00FE3EB0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0F8B5E"/>
  <w14:defaultImageDpi w14:val="0"/>
  <w15:docId w15:val="{7EAD0AF8-4664-42B6-A6B0-22443854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3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PROJECT-107690352-1596</_dlc_DocId>
    <_dlc_DocIdUrl xmlns="a14523ce-dede-483e-883a-2d83261080bd">
      <Url>http://sharedocs/projects/5ms/_layouts/15/DocIdRedir.aspx?ID=PROJECT-107690352-1596</Url>
      <Description>PROJECT-107690352-1596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F2EC-2329-4309-9734-B9128D26326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5B019E6-AF65-4770-BB75-7C5F866A1F45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326380-6298-4107-88C6-8234BF858F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74F617-DFFA-482E-83C1-C552B8F000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67390-DCE5-4BE1-A6EF-5CF994FFD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7DBAA3-E8DD-4D08-8BAC-5787F9AB6CA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77EDF69-E6FF-4B37-9A7F-93B106D08407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9963C8B5-7BB8-4AFC-A53E-C85E5572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/>
  <LinksUpToDate>false</LinksUpToDate>
  <CharactersWithSpaces>1275</CharactersWithSpaces>
  <SharedDoc>false</SharedDoc>
  <HLinks>
    <vt:vector size="12" baseType="variant"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_Toc527643223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_Toc527643222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/>
  <cp:lastModifiedBy>Austin Tan</cp:lastModifiedBy>
  <cp:revision>2</cp:revision>
  <cp:lastPrinted>2017-04-07T05:09:00Z</cp:lastPrinted>
  <dcterms:created xsi:type="dcterms:W3CDTF">2018-12-12T05:16:00Z</dcterms:created>
  <dcterms:modified xsi:type="dcterms:W3CDTF">2018-12-12T05:16:00Z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PROJECT-107690352-1184</vt:lpwstr>
  </property>
  <property fmtid="{D5CDD505-2E9C-101B-9397-08002B2CF9AE}" pid="3" name="_dlc_DocIdItemGuid">
    <vt:lpwstr>8c775b1c-b429-404e-9889-d90ca0d8f5d0</vt:lpwstr>
  </property>
  <property fmtid="{D5CDD505-2E9C-101B-9397-08002B2CF9AE}" pid="4" name="_dlc_DocIdUrl">
    <vt:lpwstr>http://sharedocs/projects/5ms/_layouts/15/DocIdRedir.aspx?ID=PROJECT-107690352-1184, PROJECT-107690352-1184</vt:lpwstr>
  </property>
  <property fmtid="{D5CDD505-2E9C-101B-9397-08002B2CF9AE}" pid="5" name="AEMODocumentType">
    <vt:lpwstr>1;#Operational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0x0101009BE89D58CAF0934CA32A20BCFFD353DC00D090D6681D809D4D8FC2F677DB1CD59F</vt:lpwstr>
  </property>
</Properties>
</file>