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06482" w14:textId="77777777" w:rsidR="00ED0A94" w:rsidRDefault="003F2F46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77777777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IN042/16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– AEMO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Meter fix notification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examination proposal and include information that supports your organisation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77777777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organisation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organisation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 please provide details why your organisation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1B4062"/>
    <w:rsid w:val="002D3462"/>
    <w:rsid w:val="003F2F46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CA2F64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RETAILMARKET-21-55448</_dlc_DocId>
    <_dlc_DocIdUrl xmlns="a14523ce-dede-483e-883a-2d83261080bd">
      <Url>http://sharedocs/sites/rmm/RetD/_layouts/15/DocIdRedir.aspx?ID=RETAILMARKET-21-55448</Url>
      <Description>RETAILMARKET-21-55448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FBDF2-1CBE-4F35-A0CC-35C9D818B079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4523ce-dede-483e-883a-2d83261080b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2016-12-01T23:34:00Z</dcterms:created>
  <dcterms:modified xsi:type="dcterms:W3CDTF">2016-12-01T23:34:00Z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eea2ea91-a742-478f-82b6-9f6bbd32b3ba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