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0029" w14:textId="37F4C023" w:rsidR="00360C1A" w:rsidRDefault="00432DDB" w:rsidP="00432DDB">
      <w:pPr>
        <w:pStyle w:val="Heading4"/>
        <w:rPr>
          <w:lang w:eastAsia="en-AU"/>
        </w:rPr>
      </w:pPr>
      <w:bookmarkStart w:id="0" w:name="_GoBack"/>
      <w:bookmarkEnd w:id="0"/>
      <w:r>
        <w:rPr>
          <w:lang w:eastAsia="en-AU"/>
        </w:rPr>
        <w:t>Five Minute Settlements Project: High-Level Impact Assessment</w:t>
      </w:r>
    </w:p>
    <w:p w14:paraId="11DB0B2D"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2EE716EF" w14:textId="77777777" w:rsidTr="00CF4732">
        <w:tc>
          <w:tcPr>
            <w:tcW w:w="2293" w:type="dxa"/>
            <w:shd w:val="clear" w:color="auto" w:fill="D9D9D9" w:themeFill="background1" w:themeFillShade="D9"/>
          </w:tcPr>
          <w:p w14:paraId="1B486E81" w14:textId="77777777" w:rsidR="00CF4732" w:rsidRDefault="00CF4732" w:rsidP="00B30FEB">
            <w:pPr>
              <w:pStyle w:val="BodyText"/>
              <w:rPr>
                <w:lang w:eastAsia="en-AU"/>
              </w:rPr>
            </w:pPr>
            <w:r>
              <w:rPr>
                <w:lang w:eastAsia="en-AU"/>
              </w:rPr>
              <w:t>Document Title</w:t>
            </w:r>
          </w:p>
        </w:tc>
        <w:tc>
          <w:tcPr>
            <w:tcW w:w="6881" w:type="dxa"/>
            <w:gridSpan w:val="3"/>
          </w:tcPr>
          <w:p w14:paraId="44C40455" w14:textId="41295F83" w:rsidR="00CF4732" w:rsidRDefault="004839E0" w:rsidP="00B30FEB">
            <w:pPr>
              <w:pStyle w:val="BodyText"/>
              <w:rPr>
                <w:lang w:eastAsia="en-AU"/>
              </w:rPr>
            </w:pPr>
            <w:r w:rsidRPr="004839E0">
              <w:rPr>
                <w:lang w:eastAsia="en-AU"/>
              </w:rPr>
              <w:t>Metering Data Provision Procedures</w:t>
            </w:r>
          </w:p>
        </w:tc>
      </w:tr>
      <w:tr w:rsidR="00725F8C" w14:paraId="0F4C9B1A" w14:textId="77777777" w:rsidTr="00CF4732">
        <w:tc>
          <w:tcPr>
            <w:tcW w:w="2293" w:type="dxa"/>
            <w:shd w:val="clear" w:color="auto" w:fill="D9D9D9" w:themeFill="background1" w:themeFillShade="D9"/>
          </w:tcPr>
          <w:p w14:paraId="7267916F" w14:textId="77777777" w:rsidR="00725F8C" w:rsidRDefault="00725F8C" w:rsidP="00725F8C">
            <w:pPr>
              <w:pStyle w:val="BodyText"/>
              <w:rPr>
                <w:lang w:eastAsia="en-AU"/>
              </w:rPr>
            </w:pPr>
            <w:r>
              <w:rPr>
                <w:lang w:eastAsia="en-AU"/>
              </w:rPr>
              <w:t>Rule Consultation Req.</w:t>
            </w:r>
          </w:p>
        </w:tc>
        <w:tc>
          <w:tcPr>
            <w:tcW w:w="2293" w:type="dxa"/>
          </w:tcPr>
          <w:p w14:paraId="0A433B86" w14:textId="2C97042C" w:rsidR="00725F8C" w:rsidRDefault="00725F8C" w:rsidP="00725F8C">
            <w:pPr>
              <w:pStyle w:val="BodyText"/>
              <w:rPr>
                <w:lang w:eastAsia="en-AU"/>
              </w:rPr>
            </w:pPr>
            <w:r>
              <w:rPr>
                <w:lang w:eastAsia="en-AU"/>
              </w:rPr>
              <w:t xml:space="preserve">Yes </w:t>
            </w:r>
          </w:p>
        </w:tc>
        <w:tc>
          <w:tcPr>
            <w:tcW w:w="2294" w:type="dxa"/>
            <w:shd w:val="clear" w:color="auto" w:fill="D9D9D9" w:themeFill="background1" w:themeFillShade="D9"/>
          </w:tcPr>
          <w:p w14:paraId="504F423F" w14:textId="2D1795EF" w:rsidR="00725F8C" w:rsidRDefault="00725F8C" w:rsidP="00725F8C">
            <w:pPr>
              <w:pStyle w:val="BodyText"/>
              <w:rPr>
                <w:lang w:eastAsia="en-AU"/>
              </w:rPr>
            </w:pPr>
            <w:r>
              <w:rPr>
                <w:lang w:eastAsia="en-AU"/>
              </w:rPr>
              <w:t>Priority</w:t>
            </w:r>
          </w:p>
        </w:tc>
        <w:tc>
          <w:tcPr>
            <w:tcW w:w="2294" w:type="dxa"/>
          </w:tcPr>
          <w:p w14:paraId="0BAD3811" w14:textId="0DC59291" w:rsidR="00725F8C" w:rsidRDefault="00A75C25" w:rsidP="00725F8C">
            <w:pPr>
              <w:pStyle w:val="BodyText"/>
              <w:rPr>
                <w:lang w:eastAsia="en-AU"/>
              </w:rPr>
            </w:pPr>
            <w:r>
              <w:rPr>
                <w:lang w:eastAsia="en-AU"/>
              </w:rPr>
              <w:t>Medium</w:t>
            </w:r>
          </w:p>
        </w:tc>
      </w:tr>
      <w:tr w:rsidR="00CF4732" w14:paraId="4385044E" w14:textId="77777777" w:rsidTr="00CF4732">
        <w:tc>
          <w:tcPr>
            <w:tcW w:w="2293" w:type="dxa"/>
            <w:shd w:val="clear" w:color="auto" w:fill="D9D9D9" w:themeFill="background1" w:themeFillShade="D9"/>
          </w:tcPr>
          <w:p w14:paraId="08E6ED65" w14:textId="0CA690B6" w:rsidR="00CF4732" w:rsidRDefault="00B37301" w:rsidP="00B37301">
            <w:pPr>
              <w:pStyle w:val="BodyText"/>
              <w:rPr>
                <w:lang w:eastAsia="en-AU"/>
              </w:rPr>
            </w:pPr>
            <w:r>
              <w:rPr>
                <w:lang w:eastAsia="en-AU"/>
              </w:rPr>
              <w:t>Prepared by</w:t>
            </w:r>
          </w:p>
        </w:tc>
        <w:tc>
          <w:tcPr>
            <w:tcW w:w="2293" w:type="dxa"/>
          </w:tcPr>
          <w:p w14:paraId="1E2DF0F8" w14:textId="0EF7D507" w:rsidR="00CF4732" w:rsidRDefault="00CF4732" w:rsidP="00B30FEB">
            <w:pPr>
              <w:pStyle w:val="BodyText"/>
              <w:rPr>
                <w:lang w:eastAsia="en-AU"/>
              </w:rPr>
            </w:pPr>
          </w:p>
        </w:tc>
        <w:tc>
          <w:tcPr>
            <w:tcW w:w="2294" w:type="dxa"/>
            <w:shd w:val="clear" w:color="auto" w:fill="D9D9D9" w:themeFill="background1" w:themeFillShade="D9"/>
          </w:tcPr>
          <w:p w14:paraId="63821330" w14:textId="77777777" w:rsidR="00CF4732" w:rsidRDefault="004738A1" w:rsidP="004738A1">
            <w:pPr>
              <w:pStyle w:val="BodyText"/>
              <w:rPr>
                <w:lang w:eastAsia="en-AU"/>
              </w:rPr>
            </w:pPr>
            <w:r>
              <w:rPr>
                <w:lang w:eastAsia="en-AU"/>
              </w:rPr>
              <w:t>Business Owner</w:t>
            </w:r>
          </w:p>
        </w:tc>
        <w:tc>
          <w:tcPr>
            <w:tcW w:w="2294" w:type="dxa"/>
          </w:tcPr>
          <w:p w14:paraId="10270204" w14:textId="4D698547" w:rsidR="00CF4732" w:rsidRDefault="00D43D18" w:rsidP="00B30FEB">
            <w:pPr>
              <w:pStyle w:val="BodyText"/>
              <w:rPr>
                <w:lang w:eastAsia="en-AU"/>
              </w:rPr>
            </w:pPr>
            <w:r>
              <w:rPr>
                <w:lang w:eastAsia="en-AU"/>
              </w:rPr>
              <w:t>Metering</w:t>
            </w:r>
          </w:p>
        </w:tc>
      </w:tr>
      <w:tr w:rsidR="00725F8C" w14:paraId="726759FE" w14:textId="77777777" w:rsidTr="00CF4732">
        <w:tc>
          <w:tcPr>
            <w:tcW w:w="2293" w:type="dxa"/>
            <w:shd w:val="clear" w:color="auto" w:fill="D9D9D9" w:themeFill="background1" w:themeFillShade="D9"/>
          </w:tcPr>
          <w:p w14:paraId="76E20F89" w14:textId="0AE55B50" w:rsidR="00725F8C" w:rsidRDefault="00725F8C" w:rsidP="00725F8C">
            <w:pPr>
              <w:pStyle w:val="BodyText"/>
              <w:rPr>
                <w:lang w:eastAsia="en-AU"/>
              </w:rPr>
            </w:pPr>
            <w:r>
              <w:rPr>
                <w:lang w:eastAsia="en-AU"/>
              </w:rPr>
              <w:t>Consultation Group</w:t>
            </w:r>
          </w:p>
        </w:tc>
        <w:tc>
          <w:tcPr>
            <w:tcW w:w="2293" w:type="dxa"/>
          </w:tcPr>
          <w:p w14:paraId="597AF13B" w14:textId="54137E69" w:rsidR="00725F8C" w:rsidRDefault="00725F8C" w:rsidP="00B30FEB">
            <w:pPr>
              <w:pStyle w:val="BodyText"/>
              <w:rPr>
                <w:lang w:eastAsia="en-AU"/>
              </w:rPr>
            </w:pPr>
            <w:r>
              <w:rPr>
                <w:lang w:eastAsia="en-AU"/>
              </w:rPr>
              <w:t>Metering</w:t>
            </w:r>
          </w:p>
        </w:tc>
        <w:tc>
          <w:tcPr>
            <w:tcW w:w="2294" w:type="dxa"/>
            <w:shd w:val="clear" w:color="auto" w:fill="D9D9D9" w:themeFill="background1" w:themeFillShade="D9"/>
          </w:tcPr>
          <w:p w14:paraId="5C854504" w14:textId="41B6E7E9" w:rsidR="00725F8C" w:rsidRDefault="00725F8C" w:rsidP="00725F8C">
            <w:pPr>
              <w:pStyle w:val="BodyText"/>
              <w:rPr>
                <w:lang w:eastAsia="en-AU"/>
              </w:rPr>
            </w:pPr>
            <w:r>
              <w:rPr>
                <w:lang w:eastAsia="en-AU"/>
              </w:rPr>
              <w:t>Consultation Package</w:t>
            </w:r>
          </w:p>
        </w:tc>
        <w:tc>
          <w:tcPr>
            <w:tcW w:w="2294" w:type="dxa"/>
          </w:tcPr>
          <w:p w14:paraId="7FB58975" w14:textId="2232BBA0" w:rsidR="00725F8C" w:rsidRDefault="00725F8C" w:rsidP="004839E0">
            <w:pPr>
              <w:pStyle w:val="BodyText"/>
              <w:rPr>
                <w:lang w:eastAsia="en-AU"/>
              </w:rPr>
            </w:pPr>
          </w:p>
        </w:tc>
      </w:tr>
      <w:tr w:rsidR="004839E0" w14:paraId="7FEB5726" w14:textId="77777777" w:rsidTr="00091E83">
        <w:tc>
          <w:tcPr>
            <w:tcW w:w="2293" w:type="dxa"/>
            <w:shd w:val="clear" w:color="auto" w:fill="D9D9D9" w:themeFill="background1" w:themeFillShade="D9"/>
          </w:tcPr>
          <w:p w14:paraId="61030EA8" w14:textId="77777777" w:rsidR="004839E0" w:rsidRDefault="004839E0" w:rsidP="004839E0">
            <w:pPr>
              <w:pStyle w:val="BodyText"/>
              <w:rPr>
                <w:lang w:eastAsia="en-AU"/>
              </w:rPr>
            </w:pPr>
            <w:r>
              <w:rPr>
                <w:lang w:eastAsia="en-AU"/>
              </w:rPr>
              <w:t>Link</w:t>
            </w:r>
          </w:p>
        </w:tc>
        <w:tc>
          <w:tcPr>
            <w:tcW w:w="6881" w:type="dxa"/>
            <w:gridSpan w:val="3"/>
          </w:tcPr>
          <w:p w14:paraId="4D563991" w14:textId="278448C2" w:rsidR="004839E0" w:rsidRDefault="00DD22E5" w:rsidP="004839E0">
            <w:pPr>
              <w:pStyle w:val="BodyText"/>
              <w:rPr>
                <w:lang w:eastAsia="en-AU"/>
              </w:rPr>
            </w:pPr>
            <w:hyperlink r:id="rId14" w:history="1">
              <w:r w:rsidR="004839E0" w:rsidRPr="004839E0">
                <w:rPr>
                  <w:rStyle w:val="Hyperlink"/>
                  <w:rFonts w:ascii="Arial" w:hAnsi="Arial"/>
                  <w:lang w:eastAsia="en-AU"/>
                </w:rPr>
                <w:t>Metering Data Provision Procedures</w:t>
              </w:r>
            </w:hyperlink>
          </w:p>
        </w:tc>
      </w:tr>
    </w:tbl>
    <w:p w14:paraId="027B4717" w14:textId="77777777" w:rsidR="00CF4732" w:rsidRDefault="00CF4732" w:rsidP="00B30FEB">
      <w:pPr>
        <w:pStyle w:val="BodyText"/>
        <w:rPr>
          <w:lang w:eastAsia="en-AU"/>
        </w:rPr>
      </w:pPr>
    </w:p>
    <w:p w14:paraId="4E63019D" w14:textId="77777777" w:rsidR="00CF4732" w:rsidRDefault="00CF4732" w:rsidP="00B30FEB">
      <w:pPr>
        <w:pStyle w:val="BodyText"/>
        <w:rPr>
          <w:lang w:eastAsia="en-AU"/>
        </w:rPr>
      </w:pPr>
    </w:p>
    <w:p w14:paraId="4741D015" w14:textId="77777777" w:rsidR="00CF4732" w:rsidRDefault="00CF4732" w:rsidP="00B30FEB">
      <w:pPr>
        <w:pStyle w:val="BodyText"/>
        <w:rPr>
          <w:lang w:eastAsia="en-AU"/>
        </w:rPr>
      </w:pPr>
    </w:p>
    <w:tbl>
      <w:tblPr>
        <w:tblStyle w:val="TableGrid"/>
        <w:tblW w:w="0" w:type="auto"/>
        <w:tblLook w:val="04A0" w:firstRow="1" w:lastRow="0" w:firstColumn="1" w:lastColumn="0" w:noHBand="0" w:noVBand="1"/>
      </w:tblPr>
      <w:tblGrid>
        <w:gridCol w:w="2293"/>
        <w:gridCol w:w="2293"/>
        <w:gridCol w:w="2294"/>
        <w:gridCol w:w="2294"/>
      </w:tblGrid>
      <w:tr w:rsidR="00CF4732" w14:paraId="764E0EAE" w14:textId="77777777" w:rsidTr="00D43D18">
        <w:trPr>
          <w:trHeight w:val="1125"/>
        </w:trPr>
        <w:tc>
          <w:tcPr>
            <w:tcW w:w="2293" w:type="dxa"/>
            <w:shd w:val="clear" w:color="auto" w:fill="D9D9D9" w:themeFill="background1" w:themeFillShade="D9"/>
          </w:tcPr>
          <w:p w14:paraId="42D8A3A0" w14:textId="77777777" w:rsidR="00CF4732" w:rsidRDefault="00CF4732" w:rsidP="00B30FEB">
            <w:pPr>
              <w:pStyle w:val="BodyText"/>
              <w:rPr>
                <w:lang w:eastAsia="en-AU"/>
              </w:rPr>
            </w:pPr>
            <w:r>
              <w:rPr>
                <w:lang w:eastAsia="en-AU"/>
              </w:rPr>
              <w:t>Description of Document</w:t>
            </w:r>
          </w:p>
        </w:tc>
        <w:tc>
          <w:tcPr>
            <w:tcW w:w="6881" w:type="dxa"/>
            <w:gridSpan w:val="3"/>
          </w:tcPr>
          <w:p w14:paraId="2F4F0544" w14:textId="77777777" w:rsidR="00D43D18" w:rsidRDefault="004839E0" w:rsidP="00CF4732">
            <w:pPr>
              <w:pStyle w:val="BodyText"/>
              <w:rPr>
                <w:lang w:eastAsia="en-AU"/>
              </w:rPr>
            </w:pPr>
            <w:r w:rsidRPr="004839E0">
              <w:rPr>
                <w:lang w:eastAsia="en-AU"/>
              </w:rPr>
              <w:t>The Metering Data Provision Procedures establish the minimum requirements for the manner and form in which metering data should be provided by retailers and Distribution Network Service Providers (DNSPs) to retail customers (or their customer authorised representatives) in response to a request for such data from the retail customer or customer authorised representative</w:t>
            </w:r>
            <w:r>
              <w:rPr>
                <w:lang w:eastAsia="en-AU"/>
              </w:rPr>
              <w:t>.</w:t>
            </w:r>
          </w:p>
          <w:p w14:paraId="0589C837" w14:textId="77777777" w:rsidR="00F80D34" w:rsidRDefault="00F80D34" w:rsidP="00CF4732">
            <w:pPr>
              <w:pStyle w:val="BodyText"/>
              <w:rPr>
                <w:lang w:eastAsia="en-AU"/>
              </w:rPr>
            </w:pPr>
          </w:p>
          <w:p w14:paraId="0C09FD7B" w14:textId="51E10ACC" w:rsidR="00F80D34" w:rsidRDefault="00017171" w:rsidP="00F000EC">
            <w:pPr>
              <w:pStyle w:val="BodyText"/>
              <w:rPr>
                <w:lang w:eastAsia="en-AU"/>
              </w:rPr>
            </w:pPr>
            <w:r>
              <w:rPr>
                <w:lang w:eastAsia="en-AU"/>
              </w:rPr>
              <w:t>Note that this Procedure</w:t>
            </w:r>
            <w:r w:rsidR="00F80D34">
              <w:rPr>
                <w:lang w:eastAsia="en-AU"/>
              </w:rPr>
              <w:t xml:space="preserve"> </w:t>
            </w:r>
            <w:r w:rsidR="00182285">
              <w:rPr>
                <w:lang w:eastAsia="en-AU"/>
              </w:rPr>
              <w:t xml:space="preserve">is not </w:t>
            </w:r>
            <w:r w:rsidR="00F80D34">
              <w:rPr>
                <w:lang w:eastAsia="en-AU"/>
              </w:rPr>
              <w:t>in the new POC</w:t>
            </w:r>
            <w:r w:rsidR="00182285">
              <w:rPr>
                <w:lang w:eastAsia="en-AU"/>
              </w:rPr>
              <w:t xml:space="preserve"> procedure </w:t>
            </w:r>
            <w:r w:rsidR="00F80D34">
              <w:rPr>
                <w:lang w:eastAsia="en-AU"/>
              </w:rPr>
              <w:t>f</w:t>
            </w:r>
            <w:r w:rsidR="00F000EC">
              <w:rPr>
                <w:lang w:eastAsia="en-AU"/>
              </w:rPr>
              <w:t>ormat</w:t>
            </w:r>
          </w:p>
        </w:tc>
      </w:tr>
      <w:tr w:rsidR="00D43D18" w14:paraId="00BEFEC5" w14:textId="77777777" w:rsidTr="00D43D18">
        <w:trPr>
          <w:trHeight w:val="992"/>
        </w:trPr>
        <w:tc>
          <w:tcPr>
            <w:tcW w:w="2293" w:type="dxa"/>
            <w:shd w:val="clear" w:color="auto" w:fill="D9D9D9" w:themeFill="background1" w:themeFillShade="D9"/>
          </w:tcPr>
          <w:p w14:paraId="2B960F7D" w14:textId="202F9F1E" w:rsidR="00D43D18" w:rsidRDefault="00D43D18" w:rsidP="00D43D18">
            <w:pPr>
              <w:pStyle w:val="BodyText"/>
              <w:rPr>
                <w:lang w:eastAsia="en-AU"/>
              </w:rPr>
            </w:pPr>
            <w:r>
              <w:rPr>
                <w:lang w:eastAsia="en-AU"/>
              </w:rPr>
              <w:t>Precedent Procedures</w:t>
            </w:r>
            <w:r w:rsidR="00F80D34">
              <w:rPr>
                <w:lang w:eastAsia="en-AU"/>
              </w:rPr>
              <w:t xml:space="preserve"> / External Documents</w:t>
            </w:r>
          </w:p>
        </w:tc>
        <w:tc>
          <w:tcPr>
            <w:tcW w:w="2293" w:type="dxa"/>
          </w:tcPr>
          <w:p w14:paraId="54B428F6" w14:textId="0835FE32" w:rsidR="00D97B98" w:rsidRDefault="00D97B98" w:rsidP="00182285">
            <w:pPr>
              <w:pStyle w:val="BodyText"/>
              <w:rPr>
                <w:lang w:eastAsia="en-AU"/>
              </w:rPr>
            </w:pPr>
            <w:r>
              <w:rPr>
                <w:lang w:eastAsia="en-AU"/>
              </w:rPr>
              <w:t>MDM Procedure</w:t>
            </w:r>
          </w:p>
          <w:p w14:paraId="36DD0601" w14:textId="2A3D9958" w:rsidR="00F80D34" w:rsidRPr="00F80D34" w:rsidRDefault="00F80D34" w:rsidP="00182285">
            <w:pPr>
              <w:pStyle w:val="BodyText"/>
              <w:rPr>
                <w:highlight w:val="yellow"/>
                <w:lang w:eastAsia="en-AU"/>
              </w:rPr>
            </w:pPr>
            <w:r>
              <w:rPr>
                <w:lang w:eastAsia="en-AU"/>
              </w:rPr>
              <w:t>Metering Data File Format Specification: NEM12 &amp; NEM13</w:t>
            </w:r>
          </w:p>
        </w:tc>
        <w:tc>
          <w:tcPr>
            <w:tcW w:w="2294" w:type="dxa"/>
            <w:shd w:val="clear" w:color="auto" w:fill="D9D9D9" w:themeFill="background1" w:themeFillShade="D9"/>
          </w:tcPr>
          <w:p w14:paraId="583C14CD" w14:textId="2672E107" w:rsidR="00D43D18" w:rsidRDefault="00D43D18" w:rsidP="00D43D18">
            <w:pPr>
              <w:pStyle w:val="BodyText"/>
              <w:rPr>
                <w:lang w:eastAsia="en-AU"/>
              </w:rPr>
            </w:pPr>
            <w:r>
              <w:rPr>
                <w:lang w:eastAsia="en-AU"/>
              </w:rPr>
              <w:t>Dependent Procedures</w:t>
            </w:r>
            <w:r w:rsidR="00F80D34">
              <w:rPr>
                <w:lang w:eastAsia="en-AU"/>
              </w:rPr>
              <w:t xml:space="preserve"> / External Documents</w:t>
            </w:r>
          </w:p>
        </w:tc>
        <w:tc>
          <w:tcPr>
            <w:tcW w:w="2294" w:type="dxa"/>
          </w:tcPr>
          <w:p w14:paraId="13F6DE68" w14:textId="097D3343" w:rsidR="00D43D18" w:rsidRDefault="00D43D18" w:rsidP="00D43D18">
            <w:pPr>
              <w:pStyle w:val="BodyText"/>
              <w:rPr>
                <w:lang w:eastAsia="en-AU"/>
              </w:rPr>
            </w:pPr>
          </w:p>
        </w:tc>
      </w:tr>
      <w:tr w:rsidR="00CF4732" w14:paraId="7AEE5D53" w14:textId="77777777" w:rsidTr="00A75C25">
        <w:trPr>
          <w:trHeight w:val="1923"/>
        </w:trPr>
        <w:tc>
          <w:tcPr>
            <w:tcW w:w="2293" w:type="dxa"/>
            <w:shd w:val="clear" w:color="auto" w:fill="D9D9D9" w:themeFill="background1" w:themeFillShade="D9"/>
          </w:tcPr>
          <w:p w14:paraId="3A408DE1" w14:textId="5596FC43" w:rsidR="00CF4732" w:rsidRDefault="00CF4732" w:rsidP="002B4699">
            <w:pPr>
              <w:pStyle w:val="BodyText"/>
              <w:rPr>
                <w:lang w:eastAsia="en-AU"/>
              </w:rPr>
            </w:pPr>
            <w:r>
              <w:rPr>
                <w:lang w:eastAsia="en-AU"/>
              </w:rPr>
              <w:t>Summary of Changes</w:t>
            </w:r>
            <w:r w:rsidR="002B4699">
              <w:rPr>
                <w:lang w:eastAsia="en-AU"/>
              </w:rPr>
              <w:t xml:space="preserve"> – Five Minute Settlements  </w:t>
            </w:r>
          </w:p>
        </w:tc>
        <w:tc>
          <w:tcPr>
            <w:tcW w:w="6881" w:type="dxa"/>
            <w:gridSpan w:val="3"/>
          </w:tcPr>
          <w:p w14:paraId="1C6384F3" w14:textId="23243515" w:rsidR="003A5073" w:rsidRDefault="003A5073" w:rsidP="003A5073">
            <w:pPr>
              <w:pStyle w:val="ListBullet"/>
              <w:numPr>
                <w:ilvl w:val="0"/>
                <w:numId w:val="0"/>
              </w:numPr>
              <w:rPr>
                <w:lang w:eastAsia="en-AU"/>
              </w:rPr>
            </w:pPr>
            <w:r>
              <w:rPr>
                <w:lang w:eastAsia="en-AU"/>
              </w:rPr>
              <w:t>Changes to be made to be consistent with changes to Precedent Procedures</w:t>
            </w:r>
            <w:r w:rsidR="00F80D34">
              <w:rPr>
                <w:lang w:eastAsia="en-AU"/>
              </w:rPr>
              <w:t xml:space="preserve"> and documents</w:t>
            </w:r>
            <w:r>
              <w:rPr>
                <w:lang w:eastAsia="en-AU"/>
              </w:rPr>
              <w:t>:</w:t>
            </w:r>
          </w:p>
          <w:p w14:paraId="2F958D89" w14:textId="77DE67B6" w:rsidR="00DC2547" w:rsidRDefault="00F80D34" w:rsidP="00F80D34">
            <w:pPr>
              <w:pStyle w:val="ListBullet"/>
              <w:rPr>
                <w:lang w:eastAsia="en-AU"/>
              </w:rPr>
            </w:pPr>
            <w:r>
              <w:rPr>
                <w:lang w:eastAsia="en-AU"/>
              </w:rPr>
              <w:t>References to NEM12 and NEM13 only – need to add in an additional format if required</w:t>
            </w:r>
            <w:r w:rsidR="00A75C25">
              <w:rPr>
                <w:lang w:eastAsia="en-AU"/>
              </w:rPr>
              <w:t xml:space="preserve"> (e.g</w:t>
            </w:r>
            <w:r w:rsidR="00182285">
              <w:rPr>
                <w:lang w:eastAsia="en-AU"/>
              </w:rPr>
              <w:t>. Sections</w:t>
            </w:r>
            <w:r w:rsidR="00A75C25">
              <w:rPr>
                <w:lang w:eastAsia="en-AU"/>
              </w:rPr>
              <w:t xml:space="preserve"> 1.2, 4.1, 4.4)</w:t>
            </w:r>
          </w:p>
          <w:p w14:paraId="499E660E" w14:textId="77777777" w:rsidR="00A75C25" w:rsidRDefault="00A75C25" w:rsidP="00A75C25">
            <w:pPr>
              <w:pStyle w:val="ListBullet"/>
              <w:rPr>
                <w:lang w:eastAsia="en-AU"/>
              </w:rPr>
            </w:pPr>
            <w:r>
              <w:rPr>
                <w:lang w:eastAsia="en-AU"/>
              </w:rPr>
              <w:t>Maximum demand definition and calculation (1.2)</w:t>
            </w:r>
          </w:p>
          <w:p w14:paraId="598FC110" w14:textId="0B901752" w:rsidR="00182285" w:rsidRDefault="00182285" w:rsidP="00182285">
            <w:pPr>
              <w:pStyle w:val="ListBullet"/>
              <w:numPr>
                <w:ilvl w:val="0"/>
                <w:numId w:val="0"/>
              </w:numPr>
              <w:rPr>
                <w:lang w:eastAsia="en-AU"/>
              </w:rPr>
            </w:pPr>
          </w:p>
        </w:tc>
      </w:tr>
      <w:tr w:rsidR="002B4699" w14:paraId="56961A49" w14:textId="77777777" w:rsidTr="00D43D18">
        <w:trPr>
          <w:trHeight w:val="1107"/>
        </w:trPr>
        <w:tc>
          <w:tcPr>
            <w:tcW w:w="2293" w:type="dxa"/>
            <w:shd w:val="clear" w:color="auto" w:fill="D9D9D9" w:themeFill="background1" w:themeFillShade="D9"/>
          </w:tcPr>
          <w:p w14:paraId="592CC8FE" w14:textId="2356BA2E" w:rsidR="002B4699" w:rsidRDefault="002B4699" w:rsidP="002B4699">
            <w:pPr>
              <w:pStyle w:val="BodyText"/>
              <w:rPr>
                <w:lang w:eastAsia="en-AU"/>
              </w:rPr>
            </w:pPr>
            <w:r>
              <w:rPr>
                <w:lang w:eastAsia="en-AU"/>
              </w:rPr>
              <w:t xml:space="preserve">Summary of </w:t>
            </w:r>
            <w:r w:rsidR="004F0CF7">
              <w:rPr>
                <w:lang w:eastAsia="en-AU"/>
              </w:rPr>
              <w:t xml:space="preserve">Potential </w:t>
            </w:r>
            <w:r>
              <w:rPr>
                <w:lang w:eastAsia="en-AU"/>
              </w:rPr>
              <w:t xml:space="preserve">Changes – Global Settlements  </w:t>
            </w:r>
          </w:p>
        </w:tc>
        <w:tc>
          <w:tcPr>
            <w:tcW w:w="6881" w:type="dxa"/>
            <w:gridSpan w:val="3"/>
          </w:tcPr>
          <w:p w14:paraId="26278E98" w14:textId="216DD65E" w:rsidR="000A312A" w:rsidRDefault="00A75C25" w:rsidP="003A5073">
            <w:pPr>
              <w:pStyle w:val="ListBullet"/>
              <w:rPr>
                <w:lang w:eastAsia="en-AU"/>
              </w:rPr>
            </w:pPr>
            <w:r>
              <w:rPr>
                <w:lang w:eastAsia="en-AU"/>
              </w:rPr>
              <w:t>None identified</w:t>
            </w:r>
          </w:p>
        </w:tc>
      </w:tr>
      <w:tr w:rsidR="002B4699" w14:paraId="277909F9" w14:textId="77777777" w:rsidTr="00D43D18">
        <w:tc>
          <w:tcPr>
            <w:tcW w:w="2293" w:type="dxa"/>
            <w:shd w:val="clear" w:color="auto" w:fill="D9D9D9" w:themeFill="background1" w:themeFillShade="D9"/>
          </w:tcPr>
          <w:p w14:paraId="257F232E" w14:textId="52A1A49D" w:rsidR="002B4699" w:rsidRDefault="002B4699" w:rsidP="002B4699">
            <w:pPr>
              <w:pStyle w:val="BodyText"/>
              <w:rPr>
                <w:lang w:eastAsia="en-AU"/>
              </w:rPr>
            </w:pPr>
            <w:r>
              <w:rPr>
                <w:lang w:eastAsia="en-AU"/>
              </w:rPr>
              <w:t>External Stakeholder Impacted</w:t>
            </w:r>
          </w:p>
        </w:tc>
        <w:tc>
          <w:tcPr>
            <w:tcW w:w="2293" w:type="dxa"/>
          </w:tcPr>
          <w:p w14:paraId="19755017" w14:textId="4A67EB5D" w:rsidR="002B4699" w:rsidRDefault="00A75C25" w:rsidP="002B4699">
            <w:pPr>
              <w:pStyle w:val="BodyText"/>
              <w:rPr>
                <w:lang w:eastAsia="en-AU"/>
              </w:rPr>
            </w:pPr>
            <w:r>
              <w:rPr>
                <w:lang w:eastAsia="en-AU"/>
              </w:rPr>
              <w:t>Yes – retailers, DNSPs</w:t>
            </w:r>
          </w:p>
        </w:tc>
        <w:tc>
          <w:tcPr>
            <w:tcW w:w="2294" w:type="dxa"/>
            <w:shd w:val="clear" w:color="auto" w:fill="D9D9D9" w:themeFill="background1" w:themeFillShade="D9"/>
          </w:tcPr>
          <w:p w14:paraId="448E348F" w14:textId="77777777" w:rsidR="002B4699" w:rsidRDefault="002B4699" w:rsidP="002B4699">
            <w:pPr>
              <w:pStyle w:val="BodyText"/>
              <w:rPr>
                <w:lang w:eastAsia="en-AU"/>
              </w:rPr>
            </w:pPr>
            <w:r>
              <w:rPr>
                <w:lang w:eastAsia="en-AU"/>
              </w:rPr>
              <w:t>AEMO Business Units Impacted</w:t>
            </w:r>
          </w:p>
        </w:tc>
        <w:tc>
          <w:tcPr>
            <w:tcW w:w="2294" w:type="dxa"/>
          </w:tcPr>
          <w:p w14:paraId="1E832040" w14:textId="2C892AC5" w:rsidR="002B4699" w:rsidRDefault="00182285" w:rsidP="00182285">
            <w:pPr>
              <w:pStyle w:val="BodyText"/>
              <w:rPr>
                <w:lang w:eastAsia="en-AU"/>
              </w:rPr>
            </w:pPr>
            <w:r>
              <w:rPr>
                <w:lang w:eastAsia="en-AU"/>
              </w:rPr>
              <w:t>None</w:t>
            </w:r>
          </w:p>
        </w:tc>
      </w:tr>
      <w:tr w:rsidR="002B4699" w14:paraId="2187C5CA" w14:textId="77777777" w:rsidTr="00A75C25">
        <w:trPr>
          <w:trHeight w:val="642"/>
        </w:trPr>
        <w:tc>
          <w:tcPr>
            <w:tcW w:w="2293" w:type="dxa"/>
            <w:shd w:val="clear" w:color="auto" w:fill="D9D9D9" w:themeFill="background1" w:themeFillShade="D9"/>
          </w:tcPr>
          <w:p w14:paraId="69805D50" w14:textId="77777777" w:rsidR="002B4699" w:rsidRDefault="002B4699" w:rsidP="002B4699">
            <w:pPr>
              <w:pStyle w:val="BodyText"/>
              <w:rPr>
                <w:lang w:eastAsia="en-AU"/>
              </w:rPr>
            </w:pPr>
            <w:r>
              <w:rPr>
                <w:lang w:eastAsia="en-AU"/>
              </w:rPr>
              <w:t>Issues for Stakeholder Consultation</w:t>
            </w:r>
          </w:p>
        </w:tc>
        <w:tc>
          <w:tcPr>
            <w:tcW w:w="6881" w:type="dxa"/>
            <w:gridSpan w:val="3"/>
          </w:tcPr>
          <w:p w14:paraId="7C88A751" w14:textId="5F1C3ED7" w:rsidR="002B4699" w:rsidRDefault="003A5073" w:rsidP="003A5073">
            <w:pPr>
              <w:pStyle w:val="BodyText"/>
              <w:rPr>
                <w:lang w:eastAsia="en-AU"/>
              </w:rPr>
            </w:pPr>
            <w:r>
              <w:rPr>
                <w:lang w:eastAsia="en-AU"/>
              </w:rPr>
              <w:t>None – changes made in precedent procedures</w:t>
            </w:r>
          </w:p>
        </w:tc>
      </w:tr>
      <w:tr w:rsidR="002B4699" w14:paraId="5B0E7EB5" w14:textId="77777777" w:rsidTr="00D43D18">
        <w:tc>
          <w:tcPr>
            <w:tcW w:w="2293" w:type="dxa"/>
            <w:shd w:val="clear" w:color="auto" w:fill="D9D9D9" w:themeFill="background1" w:themeFillShade="D9"/>
          </w:tcPr>
          <w:p w14:paraId="70BB977E" w14:textId="77777777" w:rsidR="002B4699" w:rsidRDefault="002B4699" w:rsidP="002B4699">
            <w:pPr>
              <w:pStyle w:val="BodyText"/>
              <w:rPr>
                <w:lang w:eastAsia="en-AU"/>
              </w:rPr>
            </w:pPr>
            <w:r>
              <w:rPr>
                <w:lang w:eastAsia="en-AU"/>
              </w:rPr>
              <w:t>System Impact</w:t>
            </w:r>
          </w:p>
        </w:tc>
        <w:tc>
          <w:tcPr>
            <w:tcW w:w="6881" w:type="dxa"/>
            <w:gridSpan w:val="3"/>
          </w:tcPr>
          <w:p w14:paraId="67AFB70E" w14:textId="183091EC" w:rsidR="002B4699" w:rsidRDefault="003A5073" w:rsidP="00182285">
            <w:pPr>
              <w:pStyle w:val="BodyText"/>
              <w:rPr>
                <w:lang w:eastAsia="en-AU"/>
              </w:rPr>
            </w:pPr>
            <w:r>
              <w:rPr>
                <w:lang w:eastAsia="en-AU"/>
              </w:rPr>
              <w:t xml:space="preserve">No </w:t>
            </w:r>
          </w:p>
        </w:tc>
      </w:tr>
    </w:tbl>
    <w:p w14:paraId="561FD1CD" w14:textId="77777777" w:rsidR="00CF4732" w:rsidRDefault="00CF4732" w:rsidP="00B30FEB">
      <w:pPr>
        <w:pStyle w:val="BodyText"/>
        <w:rPr>
          <w:lang w:eastAsia="en-AU"/>
        </w:rPr>
      </w:pPr>
    </w:p>
    <w:sectPr w:rsidR="00CF4732" w:rsidSect="001A1606">
      <w:headerReference w:type="default" r:id="rId15"/>
      <w:footerReference w:type="default" r:id="rId16"/>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0FDE" w14:textId="77777777" w:rsidR="00B30FEB" w:rsidRDefault="00B30FEB" w:rsidP="00710277">
      <w:pPr>
        <w:spacing w:after="0" w:line="240" w:lineRule="auto"/>
      </w:pPr>
      <w:r>
        <w:separator/>
      </w:r>
    </w:p>
  </w:endnote>
  <w:endnote w:type="continuationSeparator" w:id="0">
    <w:p w14:paraId="1575F6F7" w14:textId="77777777" w:rsidR="00B30FEB" w:rsidRDefault="00B30FEB"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31C" w14:textId="77777777"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B30FEB">
      <w:rPr>
        <w:noProof/>
      </w:rPr>
      <w:t>0000</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F000EC">
      <w:rPr>
        <w:noProof/>
      </w:rPr>
      <w:t>1</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961A" w14:textId="77777777" w:rsidR="00B30FEB" w:rsidRPr="005032D6" w:rsidRDefault="00B30FEB" w:rsidP="00710277">
      <w:pPr>
        <w:spacing w:after="0" w:line="240" w:lineRule="auto"/>
      </w:pPr>
      <w:r w:rsidRPr="005032D6">
        <w:separator/>
      </w:r>
    </w:p>
  </w:footnote>
  <w:footnote w:type="continuationSeparator" w:id="0">
    <w:p w14:paraId="235157F1" w14:textId="77777777" w:rsidR="00B30FEB" w:rsidRDefault="00B30FEB"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006F" w14:textId="77777777" w:rsidR="00FC1A57" w:rsidRPr="005032D6" w:rsidRDefault="00FC1A57" w:rsidP="00BD6C4C">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71FDFC95"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aI/DAAAA3AAAAA8AAABkcnMvZG93bnJldi54bWxEj0+LwjAUxO/CfofwFvam6fag3WoUWRCE&#10;xYNV2Oujef2jzUtpUlu/vREEj8PM/IZZbUbTiBt1rras4HsWgSDOra65VHA+7aYJCOeRNTaWScGd&#10;HGzWH5MVptoOfKRb5ksRIOxSVFB536ZSurwig25mW+LgFbYz6IPsSqk7HALcNDKOork0WHNYqLCl&#10;34rya9YbBYls+qE8XIqi/48P47z/yywtlPr6HLdLEJ5G/w6/2nutIE5+4HkmHAG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Boj8MAAADcAAAADwAAAAAAAAAAAAAAAACf&#10;AgAAZHJzL2Rvd25yZXYueG1sUEsFBgAAAAAEAAQA9wAAAI8DAAAAAA==&#10;">
                <v:imagedata r:id="rId3" o:title=""/>
                <v:path arrowok="t"/>
              </v:shape>
              <v:shape id="GasIcon" o:spid="_x0000_s1028" type="#_x0000_t75" style="position:absolute;left:262551;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6cDDAAAA3AAAAA8AAABkcnMvZG93bnJldi54bWxET89rwjAUvgv7H8ITvGmqTNlqo2wDx/Aw&#10;XBV6fTTPttq8dEnU+t8vB2HHj+93tu5NK67kfGNZwXSSgCAurW64UnDYb8YvIHxA1thaJgV38rBe&#10;PQ0yTLW98Q9d81CJGMI+RQV1CF0qpS9rMugntiOO3NE6gyFCV0nt8BbDTStnSbKQBhuODTV29FFT&#10;ec4vRkFRuvZYzN+3z7vT5yb/3h1+9/ezUqNh/7YEEagP/+KH+0srmL3G+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3pwMMAAADcAAAADwAAAAAAAAAAAAAAAACf&#10;AgAAZHJzL2Rvd25yZXYueG1sUEsFBgAAAAAEAAQA9wAAAI8DAAAAAA==&#10;">
                <v:imagedata r:id="rId4" o:title=""/>
                <v:path arrowok="t"/>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3"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6"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3"/>
  </w:num>
  <w:num w:numId="2">
    <w:abstractNumId w:val="9"/>
  </w:num>
  <w:num w:numId="3">
    <w:abstractNumId w:val="2"/>
  </w:num>
  <w:num w:numId="4">
    <w:abstractNumId w:val="1"/>
  </w:num>
  <w:num w:numId="5">
    <w:abstractNumId w:val="8"/>
  </w:num>
  <w:num w:numId="6">
    <w:abstractNumId w:val="4"/>
  </w:num>
  <w:num w:numId="7">
    <w:abstractNumId w:val="10"/>
  </w:num>
  <w:num w:numId="8">
    <w:abstractNumId w:val="0"/>
  </w:num>
  <w:num w:numId="9">
    <w:abstractNumId w:val="5"/>
  </w:num>
  <w:num w:numId="10">
    <w:abstractNumId w:val="7"/>
  </w:num>
  <w:num w:numId="11">
    <w:abstractNumId w:val="6"/>
  </w:num>
  <w:num w:numId="12">
    <w:abstractNumId w:val="4"/>
  </w:num>
  <w:num w:numId="13">
    <w:abstractNumId w:val="2"/>
  </w:num>
  <w:num w:numId="14">
    <w:abstractNumId w:val="4"/>
  </w:num>
  <w:num w:numId="15">
    <w:abstractNumId w:val="2"/>
  </w:num>
  <w:num w:numId="16">
    <w:abstractNumId w:val="2"/>
  </w:num>
  <w:num w:numId="17">
    <w:abstractNumId w:val="3"/>
  </w:num>
  <w:num w:numId="18">
    <w:abstractNumId w:val="1"/>
  </w:num>
  <w:num w:numId="19">
    <w:abstractNumId w:val="8"/>
  </w:num>
  <w:num w:numId="20">
    <w:abstractNumId w:val="4"/>
  </w:num>
  <w:num w:numId="21">
    <w:abstractNumId w:val="4"/>
  </w:num>
  <w:num w:numId="22">
    <w:abstractNumId w:val="4"/>
  </w:num>
  <w:num w:numId="23">
    <w:abstractNumId w:val="9"/>
  </w:num>
  <w:num w:numId="24">
    <w:abstractNumId w:val="5"/>
  </w:num>
  <w:num w:numId="25">
    <w:abstractNumId w:val="5"/>
  </w:num>
  <w:num w:numId="26">
    <w:abstractNumId w:val="5"/>
  </w:num>
  <w:num w:numId="27">
    <w:abstractNumId w:val="7"/>
  </w:num>
  <w:num w:numId="28">
    <w:abstractNumId w:val="7"/>
  </w:num>
  <w:num w:numId="29">
    <w:abstractNumId w:val="7"/>
  </w:num>
  <w:num w:numId="30">
    <w:abstractNumId w:val="6"/>
  </w:num>
  <w:num w:numId="31">
    <w:abstractNumId w:val="6"/>
  </w:num>
  <w:num w:numId="32">
    <w:abstractNumId w:val="6"/>
  </w:num>
  <w:num w:numId="33">
    <w:abstractNumId w:val="10"/>
  </w:num>
  <w:num w:numId="34">
    <w:abstractNumId w:val="10"/>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EB"/>
    <w:rsid w:val="00010B32"/>
    <w:rsid w:val="00017171"/>
    <w:rsid w:val="00022B1E"/>
    <w:rsid w:val="000238C8"/>
    <w:rsid w:val="00030B52"/>
    <w:rsid w:val="00032869"/>
    <w:rsid w:val="000412AF"/>
    <w:rsid w:val="00053DA7"/>
    <w:rsid w:val="00075378"/>
    <w:rsid w:val="00086C68"/>
    <w:rsid w:val="00094297"/>
    <w:rsid w:val="00094619"/>
    <w:rsid w:val="000A312A"/>
    <w:rsid w:val="000D761B"/>
    <w:rsid w:val="000E4BD3"/>
    <w:rsid w:val="000E4F2C"/>
    <w:rsid w:val="000F03C7"/>
    <w:rsid w:val="0010487D"/>
    <w:rsid w:val="00131AE0"/>
    <w:rsid w:val="00137B19"/>
    <w:rsid w:val="0014086C"/>
    <w:rsid w:val="00141F40"/>
    <w:rsid w:val="00150406"/>
    <w:rsid w:val="00161973"/>
    <w:rsid w:val="001727F7"/>
    <w:rsid w:val="00182285"/>
    <w:rsid w:val="001A1606"/>
    <w:rsid w:val="001A7F84"/>
    <w:rsid w:val="001B28B2"/>
    <w:rsid w:val="001C58BD"/>
    <w:rsid w:val="001E05FF"/>
    <w:rsid w:val="001F04A3"/>
    <w:rsid w:val="001F785D"/>
    <w:rsid w:val="002034F1"/>
    <w:rsid w:val="00212F09"/>
    <w:rsid w:val="002229FB"/>
    <w:rsid w:val="00235E19"/>
    <w:rsid w:val="002612D3"/>
    <w:rsid w:val="00267AB2"/>
    <w:rsid w:val="00267C19"/>
    <w:rsid w:val="002A1D3A"/>
    <w:rsid w:val="002A25D8"/>
    <w:rsid w:val="002B4699"/>
    <w:rsid w:val="002B5AF7"/>
    <w:rsid w:val="002C4D82"/>
    <w:rsid w:val="002C586C"/>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76496"/>
    <w:rsid w:val="003852EC"/>
    <w:rsid w:val="00394D2E"/>
    <w:rsid w:val="00396E83"/>
    <w:rsid w:val="003A5073"/>
    <w:rsid w:val="003A71CF"/>
    <w:rsid w:val="003B0194"/>
    <w:rsid w:val="003B587F"/>
    <w:rsid w:val="003B7004"/>
    <w:rsid w:val="003C1EE7"/>
    <w:rsid w:val="003E272D"/>
    <w:rsid w:val="003E2FB9"/>
    <w:rsid w:val="003E410F"/>
    <w:rsid w:val="003E7127"/>
    <w:rsid w:val="003F7609"/>
    <w:rsid w:val="0042200C"/>
    <w:rsid w:val="00432DDB"/>
    <w:rsid w:val="00435600"/>
    <w:rsid w:val="004449B2"/>
    <w:rsid w:val="00453F1F"/>
    <w:rsid w:val="00454EB2"/>
    <w:rsid w:val="00455203"/>
    <w:rsid w:val="004738A1"/>
    <w:rsid w:val="0047675C"/>
    <w:rsid w:val="00477D6C"/>
    <w:rsid w:val="004839BB"/>
    <w:rsid w:val="004839E0"/>
    <w:rsid w:val="004A25EC"/>
    <w:rsid w:val="004B545A"/>
    <w:rsid w:val="004B54FF"/>
    <w:rsid w:val="004C3E9D"/>
    <w:rsid w:val="004C498C"/>
    <w:rsid w:val="004C5114"/>
    <w:rsid w:val="004D559B"/>
    <w:rsid w:val="004E7294"/>
    <w:rsid w:val="004E741B"/>
    <w:rsid w:val="004F0CF7"/>
    <w:rsid w:val="004F76AA"/>
    <w:rsid w:val="004F7735"/>
    <w:rsid w:val="005032D6"/>
    <w:rsid w:val="00503DC1"/>
    <w:rsid w:val="00520420"/>
    <w:rsid w:val="00535D3F"/>
    <w:rsid w:val="00570BD6"/>
    <w:rsid w:val="005860B9"/>
    <w:rsid w:val="0059006A"/>
    <w:rsid w:val="005915DB"/>
    <w:rsid w:val="005A34A9"/>
    <w:rsid w:val="005A74A2"/>
    <w:rsid w:val="005D22B4"/>
    <w:rsid w:val="005D27E4"/>
    <w:rsid w:val="005E09BD"/>
    <w:rsid w:val="005E59DE"/>
    <w:rsid w:val="005F2DB6"/>
    <w:rsid w:val="005F3A83"/>
    <w:rsid w:val="006219FF"/>
    <w:rsid w:val="006225E2"/>
    <w:rsid w:val="00634E17"/>
    <w:rsid w:val="00634F4A"/>
    <w:rsid w:val="00642E0F"/>
    <w:rsid w:val="0067027F"/>
    <w:rsid w:val="00673A1C"/>
    <w:rsid w:val="00673AB4"/>
    <w:rsid w:val="006866F3"/>
    <w:rsid w:val="006B1F3B"/>
    <w:rsid w:val="006C13DF"/>
    <w:rsid w:val="006F116B"/>
    <w:rsid w:val="006F533D"/>
    <w:rsid w:val="00710277"/>
    <w:rsid w:val="00714DD5"/>
    <w:rsid w:val="00721521"/>
    <w:rsid w:val="00725F8C"/>
    <w:rsid w:val="00726E5D"/>
    <w:rsid w:val="00730652"/>
    <w:rsid w:val="00734044"/>
    <w:rsid w:val="00735861"/>
    <w:rsid w:val="0074578A"/>
    <w:rsid w:val="00747E0D"/>
    <w:rsid w:val="00754730"/>
    <w:rsid w:val="00765CBB"/>
    <w:rsid w:val="00785552"/>
    <w:rsid w:val="007A6FE8"/>
    <w:rsid w:val="007C0DA9"/>
    <w:rsid w:val="007C3594"/>
    <w:rsid w:val="007C4517"/>
    <w:rsid w:val="007D6D25"/>
    <w:rsid w:val="007E2645"/>
    <w:rsid w:val="007E790B"/>
    <w:rsid w:val="007F490B"/>
    <w:rsid w:val="0080061D"/>
    <w:rsid w:val="0080221E"/>
    <w:rsid w:val="00813A65"/>
    <w:rsid w:val="00841DD8"/>
    <w:rsid w:val="00846111"/>
    <w:rsid w:val="00864940"/>
    <w:rsid w:val="008673A3"/>
    <w:rsid w:val="00871831"/>
    <w:rsid w:val="0088148D"/>
    <w:rsid w:val="00884FDA"/>
    <w:rsid w:val="00893A95"/>
    <w:rsid w:val="00896804"/>
    <w:rsid w:val="008A4831"/>
    <w:rsid w:val="008B541A"/>
    <w:rsid w:val="008E53BD"/>
    <w:rsid w:val="008E59B7"/>
    <w:rsid w:val="008E6567"/>
    <w:rsid w:val="008E7CB8"/>
    <w:rsid w:val="008F5917"/>
    <w:rsid w:val="00906840"/>
    <w:rsid w:val="00914078"/>
    <w:rsid w:val="009235BD"/>
    <w:rsid w:val="00927CE5"/>
    <w:rsid w:val="00945D09"/>
    <w:rsid w:val="00951346"/>
    <w:rsid w:val="009616E6"/>
    <w:rsid w:val="00962609"/>
    <w:rsid w:val="00972A79"/>
    <w:rsid w:val="00972DE3"/>
    <w:rsid w:val="009761DF"/>
    <w:rsid w:val="00987262"/>
    <w:rsid w:val="00991D77"/>
    <w:rsid w:val="00992A0E"/>
    <w:rsid w:val="009B2D96"/>
    <w:rsid w:val="009D71F2"/>
    <w:rsid w:val="009F5448"/>
    <w:rsid w:val="009F6F2E"/>
    <w:rsid w:val="009F7908"/>
    <w:rsid w:val="00A03C3F"/>
    <w:rsid w:val="00A341F0"/>
    <w:rsid w:val="00A50648"/>
    <w:rsid w:val="00A55039"/>
    <w:rsid w:val="00A75C25"/>
    <w:rsid w:val="00A86D1F"/>
    <w:rsid w:val="00AA29C4"/>
    <w:rsid w:val="00AC52E6"/>
    <w:rsid w:val="00AD2617"/>
    <w:rsid w:val="00AE2DEB"/>
    <w:rsid w:val="00AF1660"/>
    <w:rsid w:val="00AF6931"/>
    <w:rsid w:val="00B025EB"/>
    <w:rsid w:val="00B13852"/>
    <w:rsid w:val="00B22F23"/>
    <w:rsid w:val="00B30FEB"/>
    <w:rsid w:val="00B32145"/>
    <w:rsid w:val="00B32629"/>
    <w:rsid w:val="00B33DE4"/>
    <w:rsid w:val="00B37301"/>
    <w:rsid w:val="00B50B89"/>
    <w:rsid w:val="00B55C73"/>
    <w:rsid w:val="00B64499"/>
    <w:rsid w:val="00B64DD8"/>
    <w:rsid w:val="00B876BA"/>
    <w:rsid w:val="00B96702"/>
    <w:rsid w:val="00B97A02"/>
    <w:rsid w:val="00BA5DA4"/>
    <w:rsid w:val="00BA7257"/>
    <w:rsid w:val="00BA7909"/>
    <w:rsid w:val="00BC0B11"/>
    <w:rsid w:val="00BC3443"/>
    <w:rsid w:val="00BD6C4C"/>
    <w:rsid w:val="00BE1857"/>
    <w:rsid w:val="00BE6B4E"/>
    <w:rsid w:val="00BE6D2E"/>
    <w:rsid w:val="00BF3581"/>
    <w:rsid w:val="00BF6714"/>
    <w:rsid w:val="00C003D9"/>
    <w:rsid w:val="00C033A8"/>
    <w:rsid w:val="00C066AB"/>
    <w:rsid w:val="00C1110F"/>
    <w:rsid w:val="00C233A4"/>
    <w:rsid w:val="00C37B3F"/>
    <w:rsid w:val="00C402B0"/>
    <w:rsid w:val="00C511B1"/>
    <w:rsid w:val="00C54B0B"/>
    <w:rsid w:val="00C63930"/>
    <w:rsid w:val="00C63C58"/>
    <w:rsid w:val="00C735FA"/>
    <w:rsid w:val="00C73DEA"/>
    <w:rsid w:val="00C76EB6"/>
    <w:rsid w:val="00C80E59"/>
    <w:rsid w:val="00C85E6C"/>
    <w:rsid w:val="00CA5159"/>
    <w:rsid w:val="00CC7137"/>
    <w:rsid w:val="00CF0E59"/>
    <w:rsid w:val="00CF287F"/>
    <w:rsid w:val="00CF4732"/>
    <w:rsid w:val="00D33DF7"/>
    <w:rsid w:val="00D346A5"/>
    <w:rsid w:val="00D43D18"/>
    <w:rsid w:val="00D455DB"/>
    <w:rsid w:val="00D521CB"/>
    <w:rsid w:val="00D5452F"/>
    <w:rsid w:val="00D835E3"/>
    <w:rsid w:val="00D97B98"/>
    <w:rsid w:val="00D97DCB"/>
    <w:rsid w:val="00DA1FB4"/>
    <w:rsid w:val="00DA393D"/>
    <w:rsid w:val="00DB0547"/>
    <w:rsid w:val="00DC2547"/>
    <w:rsid w:val="00DD0086"/>
    <w:rsid w:val="00DD22E5"/>
    <w:rsid w:val="00DD29F2"/>
    <w:rsid w:val="00DF0204"/>
    <w:rsid w:val="00DF2D62"/>
    <w:rsid w:val="00DF7E48"/>
    <w:rsid w:val="00E030BC"/>
    <w:rsid w:val="00E46635"/>
    <w:rsid w:val="00E5520F"/>
    <w:rsid w:val="00E579AA"/>
    <w:rsid w:val="00E7436F"/>
    <w:rsid w:val="00E77325"/>
    <w:rsid w:val="00E92E4D"/>
    <w:rsid w:val="00E93FF1"/>
    <w:rsid w:val="00E97423"/>
    <w:rsid w:val="00E97CD6"/>
    <w:rsid w:val="00EB52C0"/>
    <w:rsid w:val="00EB615E"/>
    <w:rsid w:val="00EC32AE"/>
    <w:rsid w:val="00EC3844"/>
    <w:rsid w:val="00EC40FB"/>
    <w:rsid w:val="00EC717C"/>
    <w:rsid w:val="00ED6CB9"/>
    <w:rsid w:val="00EF434F"/>
    <w:rsid w:val="00F000EC"/>
    <w:rsid w:val="00F033FA"/>
    <w:rsid w:val="00F36CDD"/>
    <w:rsid w:val="00F40B6B"/>
    <w:rsid w:val="00F70147"/>
    <w:rsid w:val="00F80D34"/>
    <w:rsid w:val="00F8565E"/>
    <w:rsid w:val="00F96832"/>
    <w:rsid w:val="00FA04F0"/>
    <w:rsid w:val="00FA685A"/>
    <w:rsid w:val="00FC1A57"/>
    <w:rsid w:val="00FC3120"/>
    <w:rsid w:val="00FF6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C76EB6"/>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16"/>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16"/>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16"/>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customStyle="1" w:styleId="CaptionFigure">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7F490B"/>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ind w:left="426" w:hanging="284"/>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34"/>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35"/>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emo.com.au/-/media/Files/Electricity/NEM/Retail_and_Metering/Metering-Procedures/2016/Metering-Data-Provision-Procedures-v1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6\Non%20Major%20Reports\Short%20versions\Electricity%20non-major%20report%20short.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PROJECT-107690352-318</_dlc_DocId>
    <_dlc_DocIdUrl xmlns="a14523ce-dede-483e-883a-2d83261080bd">
      <Url>http://sharedocs/projects/5ms/_layouts/15/DocIdRedir.aspx?ID=PROJECT-107690352-318</Url>
      <Description>PROJECT-107690352-318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A3D9-21DD-4B98-BB8A-66AE5B1614BF}">
  <ds:schemaRefs>
    <ds:schemaRef ds:uri="http://schemas.microsoft.com/sharepoint/events"/>
  </ds:schemaRefs>
</ds:datastoreItem>
</file>

<file path=customXml/itemProps2.xml><?xml version="1.0" encoding="utf-8"?>
<ds:datastoreItem xmlns:ds="http://schemas.openxmlformats.org/officeDocument/2006/customXml" ds:itemID="{35A3F299-0BC8-46CF-A674-94125CC299BD}">
  <ds:schemaRefs>
    <ds:schemaRef ds:uri="http://schemas.microsoft.com/office/2006/metadata/customXsn"/>
  </ds:schemaRefs>
</ds:datastoreItem>
</file>

<file path=customXml/itemProps3.xml><?xml version="1.0" encoding="utf-8"?>
<ds:datastoreItem xmlns:ds="http://schemas.openxmlformats.org/officeDocument/2006/customXml" ds:itemID="{2CE3A786-939F-47D8-8A92-112D5283A259}">
  <ds:schemaRefs>
    <ds:schemaRef ds:uri="Microsoft.SharePoint.Taxonomy.ContentTypeSync"/>
  </ds:schemaRefs>
</ds:datastoreItem>
</file>

<file path=customXml/itemProps4.xml><?xml version="1.0" encoding="utf-8"?>
<ds:datastoreItem xmlns:ds="http://schemas.openxmlformats.org/officeDocument/2006/customXml" ds:itemID="{70A34CD8-2BBC-4519-B6EC-B7D86639F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38F6D-C0ED-4E1B-953C-B31CDD0E48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6.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7.xml><?xml version="1.0" encoding="utf-8"?>
<ds:datastoreItem xmlns:ds="http://schemas.openxmlformats.org/officeDocument/2006/customXml" ds:itemID="{2C1CFD85-FC20-4EAB-8D66-EF1B606D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Electricity non-major report short</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Galloway</dc:creator>
  <cp:lastModifiedBy>Felicity Bodger</cp:lastModifiedBy>
  <cp:revision>2</cp:revision>
  <dcterms:created xsi:type="dcterms:W3CDTF">2018-12-17T03:28:00Z</dcterms:created>
  <dcterms:modified xsi:type="dcterms:W3CDTF">2018-12-17T03:28:00Z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7628ec8f-a140-4e18-87c1-13ad27017876</vt:lpwstr>
  </property>
  <property fmtid="{D5CDD505-2E9C-101B-9397-08002B2CF9AE}" pid="4" name="AEMODocumentType">
    <vt:lpwstr>1;#Operational Record|859762f2-4462-42eb-9744-c955c7e2c540</vt:lpwstr>
  </property>
  <property fmtid="{D5CDD505-2E9C-101B-9397-08002B2CF9AE}" pid="5" name="AEMOKeywords">
    <vt:lpwstr/>
  </property>
</Properties>
</file>