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Light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4"/>
      </w:tblGrid>
      <w:tr w:rsidR="00714DD5" w14:paraId="7EF80183" w14:textId="77777777" w:rsidTr="00596E73">
        <w:trPr>
          <w:trHeight w:val="3574"/>
        </w:trPr>
        <w:tc>
          <w:tcPr>
            <w:tcW w:w="9184" w:type="dxa"/>
            <w:vAlign w:val="bottom"/>
            <w:hideMark/>
          </w:tcPr>
          <w:p w14:paraId="67B752FF" w14:textId="7D74B4BF" w:rsidR="00714DD5" w:rsidRDefault="005A6EB0" w:rsidP="00495820">
            <w:pPr>
              <w:pStyle w:val="Title"/>
              <w:rPr>
                <w:sz w:val="20"/>
                <w:szCs w:val="20"/>
              </w:rPr>
            </w:pPr>
            <w:r>
              <w:t>L</w:t>
            </w:r>
            <w:r w:rsidR="00521B01">
              <w:t>ack of reserve -</w:t>
            </w:r>
            <w:r>
              <w:t xml:space="preserve"> Credible Contingency List</w:t>
            </w:r>
          </w:p>
        </w:tc>
      </w:tr>
      <w:tr w:rsidR="00714DD5" w14:paraId="530EA9C6" w14:textId="77777777" w:rsidTr="00596E73">
        <w:trPr>
          <w:trHeight w:val="437"/>
        </w:trPr>
        <w:tc>
          <w:tcPr>
            <w:tcW w:w="9184" w:type="dxa"/>
          </w:tcPr>
          <w:p w14:paraId="0B5EE89E" w14:textId="77777777" w:rsidR="00714DD5" w:rsidRDefault="00714DD5" w:rsidP="004C5114">
            <w:pPr>
              <w:pStyle w:val="BodyText"/>
            </w:pPr>
          </w:p>
        </w:tc>
      </w:tr>
    </w:tbl>
    <w:p w14:paraId="7493E97E" w14:textId="77777777" w:rsidR="00B109A1" w:rsidRDefault="00B109A1" w:rsidP="0019250F">
      <w:pPr>
        <w:pStyle w:val="TableText"/>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7355"/>
      </w:tblGrid>
      <w:tr w:rsidR="00B109A1" w:rsidRPr="00B109A1" w14:paraId="30CB45DF" w14:textId="77777777" w:rsidTr="00596E73">
        <w:tc>
          <w:tcPr>
            <w:tcW w:w="1819" w:type="dxa"/>
          </w:tcPr>
          <w:p w14:paraId="69717B6F" w14:textId="77777777" w:rsidR="00B109A1" w:rsidRPr="00B109A1" w:rsidRDefault="00B109A1" w:rsidP="0019250F">
            <w:pPr>
              <w:pStyle w:val="TableText"/>
            </w:pPr>
            <w:r w:rsidRPr="00B109A1">
              <w:t>PREPARED BY:</w:t>
            </w:r>
          </w:p>
        </w:tc>
        <w:tc>
          <w:tcPr>
            <w:tcW w:w="7355" w:type="dxa"/>
          </w:tcPr>
          <w:p w14:paraId="41994A7C" w14:textId="1CC44296" w:rsidR="00B109A1" w:rsidRPr="00B109A1" w:rsidRDefault="009614EA" w:rsidP="00DE171F">
            <w:pPr>
              <w:pStyle w:val="TableText"/>
            </w:pPr>
            <w:r>
              <w:t xml:space="preserve">AEMO </w:t>
            </w:r>
            <w:r w:rsidR="004D4775">
              <w:t xml:space="preserve">- </w:t>
            </w:r>
            <w:r w:rsidR="00DE171F">
              <w:t>Operations Planning</w:t>
            </w:r>
          </w:p>
        </w:tc>
      </w:tr>
      <w:tr w:rsidR="00B109A1" w:rsidRPr="00B109A1" w14:paraId="468050FB" w14:textId="77777777" w:rsidTr="00596E73">
        <w:tc>
          <w:tcPr>
            <w:tcW w:w="1819" w:type="dxa"/>
          </w:tcPr>
          <w:p w14:paraId="4B610D3E" w14:textId="77777777" w:rsidR="00B109A1" w:rsidRPr="00B109A1" w:rsidRDefault="00B109A1" w:rsidP="0019250F">
            <w:pPr>
              <w:pStyle w:val="TableText"/>
            </w:pPr>
            <w:r w:rsidRPr="00B109A1">
              <w:t>VERSION:</w:t>
            </w:r>
          </w:p>
        </w:tc>
        <w:tc>
          <w:tcPr>
            <w:tcW w:w="7355" w:type="dxa"/>
          </w:tcPr>
          <w:p w14:paraId="6545EC1F" w14:textId="59C2D009" w:rsidR="00B109A1" w:rsidRPr="00B109A1" w:rsidRDefault="00DE171F" w:rsidP="00937C32">
            <w:pPr>
              <w:pStyle w:val="TableText"/>
            </w:pPr>
            <w:r>
              <w:t>1.</w:t>
            </w:r>
            <w:r w:rsidR="00D43FD9">
              <w:t>0</w:t>
            </w:r>
          </w:p>
        </w:tc>
      </w:tr>
      <w:tr w:rsidR="00B109A1" w:rsidRPr="00B109A1" w14:paraId="16542E52" w14:textId="77777777" w:rsidTr="00596E73">
        <w:tc>
          <w:tcPr>
            <w:tcW w:w="1819" w:type="dxa"/>
          </w:tcPr>
          <w:p w14:paraId="43AF805B" w14:textId="77777777" w:rsidR="00B109A1" w:rsidRPr="00B109A1" w:rsidRDefault="00B109A1" w:rsidP="0019250F">
            <w:pPr>
              <w:pStyle w:val="TableText"/>
            </w:pPr>
            <w:r w:rsidRPr="00B109A1">
              <w:t>EFFECTIVE DATE:</w:t>
            </w:r>
          </w:p>
        </w:tc>
        <w:tc>
          <w:tcPr>
            <w:tcW w:w="7355" w:type="dxa"/>
          </w:tcPr>
          <w:p w14:paraId="3EDBEE5D" w14:textId="067CA36C" w:rsidR="00B109A1" w:rsidRPr="00B109A1" w:rsidRDefault="00A005E5" w:rsidP="00A005E5">
            <w:pPr>
              <w:pStyle w:val="TableText"/>
            </w:pPr>
            <w:r>
              <w:t>16 January 2018</w:t>
            </w:r>
          </w:p>
        </w:tc>
      </w:tr>
      <w:tr w:rsidR="00B109A1" w:rsidRPr="00B109A1" w14:paraId="0E8B1AE4" w14:textId="77777777" w:rsidTr="00596E73">
        <w:tc>
          <w:tcPr>
            <w:tcW w:w="1819" w:type="dxa"/>
          </w:tcPr>
          <w:p w14:paraId="3681ACAC" w14:textId="77777777" w:rsidR="00B109A1" w:rsidRPr="00B109A1" w:rsidRDefault="00B109A1" w:rsidP="0019250F">
            <w:pPr>
              <w:pStyle w:val="TableText"/>
            </w:pPr>
            <w:r w:rsidRPr="00B109A1">
              <w:t>STATUS:</w:t>
            </w:r>
          </w:p>
        </w:tc>
        <w:tc>
          <w:tcPr>
            <w:tcW w:w="7355" w:type="dxa"/>
          </w:tcPr>
          <w:p w14:paraId="27CA14C2" w14:textId="39B7CBC3" w:rsidR="00B109A1" w:rsidRPr="00B109A1" w:rsidRDefault="00A005E5" w:rsidP="0019250F">
            <w:pPr>
              <w:pStyle w:val="TableText"/>
            </w:pPr>
            <w:r>
              <w:t>FINAL</w:t>
            </w:r>
          </w:p>
        </w:tc>
      </w:tr>
      <w:tr w:rsidR="00B109A1" w:rsidRPr="00B109A1" w14:paraId="4C25DB31" w14:textId="77777777" w:rsidTr="00596E73">
        <w:trPr>
          <w:trHeight w:val="508"/>
        </w:trPr>
        <w:tc>
          <w:tcPr>
            <w:tcW w:w="1819" w:type="dxa"/>
          </w:tcPr>
          <w:p w14:paraId="09934A17" w14:textId="77777777" w:rsidR="00B109A1" w:rsidRPr="00B109A1" w:rsidRDefault="00B109A1" w:rsidP="0019250F">
            <w:pPr>
              <w:pStyle w:val="TableText"/>
            </w:pPr>
          </w:p>
        </w:tc>
        <w:tc>
          <w:tcPr>
            <w:tcW w:w="7355" w:type="dxa"/>
          </w:tcPr>
          <w:p w14:paraId="728DFCBD" w14:textId="77777777" w:rsidR="00B109A1" w:rsidRPr="00B109A1" w:rsidRDefault="00B109A1" w:rsidP="0019250F">
            <w:pPr>
              <w:pStyle w:val="TableText"/>
            </w:pPr>
          </w:p>
        </w:tc>
      </w:tr>
      <w:tr w:rsidR="00B109A1" w:rsidRPr="00596E73" w14:paraId="11882C7F" w14:textId="77777777" w:rsidTr="00596E73">
        <w:tc>
          <w:tcPr>
            <w:tcW w:w="9174" w:type="dxa"/>
            <w:gridSpan w:val="2"/>
          </w:tcPr>
          <w:p w14:paraId="6356BC71" w14:textId="77777777" w:rsidR="00B109A1" w:rsidRPr="00596E73" w:rsidRDefault="00B109A1" w:rsidP="004954FD">
            <w:pPr>
              <w:pStyle w:val="TableTitle"/>
            </w:pPr>
            <w:r w:rsidRPr="00596E73">
              <w:t>Approved for distribution and use by:</w:t>
            </w:r>
          </w:p>
        </w:tc>
      </w:tr>
      <w:tr w:rsidR="00B109A1" w:rsidRPr="00B109A1" w14:paraId="74FA73EC" w14:textId="77777777" w:rsidTr="00596E73">
        <w:tc>
          <w:tcPr>
            <w:tcW w:w="1819" w:type="dxa"/>
          </w:tcPr>
          <w:p w14:paraId="301FB7C3" w14:textId="77777777" w:rsidR="00B109A1" w:rsidRPr="00B109A1" w:rsidRDefault="00B109A1" w:rsidP="0019250F">
            <w:pPr>
              <w:pStyle w:val="TableText"/>
            </w:pPr>
            <w:r w:rsidRPr="00B109A1">
              <w:t>APPROVED BY:</w:t>
            </w:r>
          </w:p>
        </w:tc>
        <w:tc>
          <w:tcPr>
            <w:tcW w:w="7355" w:type="dxa"/>
          </w:tcPr>
          <w:p w14:paraId="69BD7094" w14:textId="6E12BD92" w:rsidR="00596146" w:rsidRDefault="009D5B13" w:rsidP="00521B01">
            <w:pPr>
              <w:pStyle w:val="TableText"/>
            </w:pPr>
            <w:r>
              <w:t>Damien Sanford</w:t>
            </w:r>
          </w:p>
          <w:p w14:paraId="30CB5900" w14:textId="4D25065E" w:rsidR="00A94A67" w:rsidRDefault="009D5B13" w:rsidP="00521B01">
            <w:pPr>
              <w:pStyle w:val="TableText"/>
            </w:pPr>
            <w:r>
              <w:t xml:space="preserve">Executive </w:t>
            </w:r>
            <w:r w:rsidR="00A94A67">
              <w:t>Group Manager –</w:t>
            </w:r>
            <w:r>
              <w:t xml:space="preserve"> </w:t>
            </w:r>
            <w:r w:rsidR="00A94A67">
              <w:t>Operations</w:t>
            </w:r>
          </w:p>
          <w:p w14:paraId="4BD99373" w14:textId="375F5FAF" w:rsidR="004A1ED5" w:rsidRPr="00B109A1" w:rsidRDefault="004A1ED5" w:rsidP="00521B01">
            <w:pPr>
              <w:pStyle w:val="TableText"/>
            </w:pPr>
          </w:p>
        </w:tc>
      </w:tr>
      <w:tr w:rsidR="00B109A1" w:rsidRPr="00B109A1" w14:paraId="701882E7" w14:textId="77777777" w:rsidTr="00596E73">
        <w:trPr>
          <w:trHeight w:val="737"/>
        </w:trPr>
        <w:tc>
          <w:tcPr>
            <w:tcW w:w="1819" w:type="dxa"/>
          </w:tcPr>
          <w:p w14:paraId="473E1A12" w14:textId="77777777" w:rsidR="00B109A1" w:rsidRPr="00B109A1" w:rsidRDefault="00B109A1" w:rsidP="0019250F">
            <w:pPr>
              <w:pStyle w:val="TableText"/>
            </w:pPr>
            <w:r w:rsidRPr="00B109A1">
              <w:t>TITLE:</w:t>
            </w:r>
          </w:p>
        </w:tc>
        <w:tc>
          <w:tcPr>
            <w:tcW w:w="7355" w:type="dxa"/>
          </w:tcPr>
          <w:p w14:paraId="347B0FC3" w14:textId="1412CFCA" w:rsidR="00596146" w:rsidRPr="00B109A1" w:rsidRDefault="00DE171F" w:rsidP="00BB4940">
            <w:pPr>
              <w:pStyle w:val="TableText"/>
            </w:pPr>
            <w:r w:rsidRPr="00DE171F">
              <w:t>Lack Of Reserve - Credible Contingency List</w:t>
            </w:r>
          </w:p>
        </w:tc>
      </w:tr>
      <w:tr w:rsidR="00B109A1" w:rsidRPr="00B109A1" w14:paraId="0B7D1072" w14:textId="77777777" w:rsidTr="00596E73">
        <w:trPr>
          <w:trHeight w:val="300"/>
        </w:trPr>
        <w:tc>
          <w:tcPr>
            <w:tcW w:w="1819" w:type="dxa"/>
          </w:tcPr>
          <w:p w14:paraId="7762DAAA" w14:textId="77777777" w:rsidR="00B109A1" w:rsidRPr="00B109A1" w:rsidRDefault="00B109A1" w:rsidP="0019250F">
            <w:pPr>
              <w:pStyle w:val="TableText"/>
            </w:pPr>
          </w:p>
        </w:tc>
        <w:tc>
          <w:tcPr>
            <w:tcW w:w="7355" w:type="dxa"/>
          </w:tcPr>
          <w:p w14:paraId="266BAA9D" w14:textId="77777777" w:rsidR="00B109A1" w:rsidRPr="00B109A1" w:rsidRDefault="00B109A1" w:rsidP="0019250F">
            <w:pPr>
              <w:pStyle w:val="TableText"/>
            </w:pPr>
          </w:p>
        </w:tc>
      </w:tr>
      <w:tr w:rsidR="00B109A1" w:rsidRPr="00B109A1" w14:paraId="6628D818" w14:textId="77777777" w:rsidTr="00596E73">
        <w:tc>
          <w:tcPr>
            <w:tcW w:w="1819" w:type="dxa"/>
          </w:tcPr>
          <w:p w14:paraId="57EC9CDC" w14:textId="77777777" w:rsidR="00B109A1" w:rsidRPr="00B109A1" w:rsidRDefault="00B109A1" w:rsidP="0019250F">
            <w:pPr>
              <w:pStyle w:val="TableText"/>
            </w:pPr>
            <w:r w:rsidRPr="00B109A1">
              <w:t>DATE:</w:t>
            </w:r>
          </w:p>
        </w:tc>
        <w:tc>
          <w:tcPr>
            <w:tcW w:w="7355" w:type="dxa"/>
          </w:tcPr>
          <w:p w14:paraId="2B4A8DA6" w14:textId="12A4B63F" w:rsidR="00B109A1" w:rsidRPr="00B109A1" w:rsidRDefault="009614EA" w:rsidP="00A94A67">
            <w:pPr>
              <w:pStyle w:val="TableText"/>
            </w:pPr>
            <w:r>
              <w:t xml:space="preserve">  </w:t>
            </w:r>
            <w:r w:rsidR="00A005E5">
              <w:t>20 / 12 / 2017</w:t>
            </w:r>
          </w:p>
        </w:tc>
      </w:tr>
    </w:tbl>
    <w:p w14:paraId="47F6F2CD" w14:textId="77777777" w:rsidR="00710277" w:rsidRDefault="00710277" w:rsidP="004C5114">
      <w:pPr>
        <w:pStyle w:val="BodyText"/>
      </w:pPr>
    </w:p>
    <w:p w14:paraId="67CD7365" w14:textId="77777777" w:rsidR="00710277" w:rsidRDefault="00710277" w:rsidP="004C5114">
      <w:pPr>
        <w:pStyle w:val="BodyText"/>
        <w:sectPr w:rsidR="00710277" w:rsidSect="00846111">
          <w:headerReference w:type="default" r:id="rId14"/>
          <w:footerReference w:type="default" r:id="rId15"/>
          <w:pgSz w:w="11906" w:h="16838"/>
          <w:pgMar w:top="1871" w:right="1361" w:bottom="1871" w:left="1361" w:header="567" w:footer="567" w:gutter="0"/>
          <w:cols w:space="708"/>
          <w:docGrid w:linePitch="360"/>
        </w:sectPr>
      </w:pPr>
    </w:p>
    <w:p w14:paraId="4FD0CA20" w14:textId="77777777" w:rsidR="009F7908" w:rsidRDefault="00F32421" w:rsidP="00B876BA">
      <w:pPr>
        <w:pStyle w:val="TOCHeading"/>
      </w:pPr>
      <w:r w:rsidRPr="00F32421">
        <w:lastRenderedPageBreak/>
        <w:t>Version Release History</w:t>
      </w:r>
    </w:p>
    <w:tbl>
      <w:tblPr>
        <w:tblStyle w:val="AEMOTable"/>
        <w:tblW w:w="9234" w:type="dxa"/>
        <w:tblLook w:val="0620" w:firstRow="1" w:lastRow="0" w:firstColumn="0" w:lastColumn="0" w:noHBand="1" w:noVBand="1"/>
      </w:tblPr>
      <w:tblGrid>
        <w:gridCol w:w="877"/>
        <w:gridCol w:w="1189"/>
        <w:gridCol w:w="7168"/>
      </w:tblGrid>
      <w:tr w:rsidR="00027BFA" w:rsidRPr="00F32421" w14:paraId="04B9B134" w14:textId="77777777" w:rsidTr="00D43FD9">
        <w:trPr>
          <w:cnfStyle w:val="100000000000" w:firstRow="1" w:lastRow="0" w:firstColumn="0" w:lastColumn="0" w:oddVBand="0" w:evenVBand="0" w:oddHBand="0" w:evenHBand="0" w:firstRowFirstColumn="0" w:firstRowLastColumn="0" w:lastRowFirstColumn="0" w:lastRowLastColumn="0"/>
        </w:trPr>
        <w:tc>
          <w:tcPr>
            <w:tcW w:w="877" w:type="dxa"/>
          </w:tcPr>
          <w:p w14:paraId="17E6FEB3" w14:textId="77777777" w:rsidR="00027BFA" w:rsidRPr="0019250F" w:rsidRDefault="00027BFA" w:rsidP="004954FD">
            <w:pPr>
              <w:pStyle w:val="TableTitle"/>
            </w:pPr>
            <w:r w:rsidRPr="0019250F">
              <w:t xml:space="preserve">Version </w:t>
            </w:r>
          </w:p>
        </w:tc>
        <w:tc>
          <w:tcPr>
            <w:tcW w:w="1189" w:type="dxa"/>
          </w:tcPr>
          <w:p w14:paraId="13C5E109" w14:textId="77777777" w:rsidR="00027BFA" w:rsidRPr="0019250F" w:rsidRDefault="00027BFA" w:rsidP="004954FD">
            <w:pPr>
              <w:pStyle w:val="TableTitle"/>
            </w:pPr>
            <w:r w:rsidRPr="0019250F">
              <w:t>Effective Date</w:t>
            </w:r>
          </w:p>
        </w:tc>
        <w:tc>
          <w:tcPr>
            <w:tcW w:w="7168" w:type="dxa"/>
          </w:tcPr>
          <w:p w14:paraId="2956DF1A" w14:textId="77777777" w:rsidR="00027BFA" w:rsidRPr="0019250F" w:rsidRDefault="00027BFA" w:rsidP="004954FD">
            <w:pPr>
              <w:pStyle w:val="TableTitle"/>
            </w:pPr>
            <w:r w:rsidRPr="0019250F">
              <w:t>Summary of Changes</w:t>
            </w:r>
          </w:p>
        </w:tc>
      </w:tr>
      <w:tr w:rsidR="00027BFA" w:rsidRPr="00F32421" w14:paraId="17877B2B" w14:textId="77777777" w:rsidTr="00D43FD9">
        <w:tc>
          <w:tcPr>
            <w:tcW w:w="877" w:type="dxa"/>
          </w:tcPr>
          <w:p w14:paraId="62CFD9AD" w14:textId="0CDC6E44" w:rsidR="00027BFA" w:rsidRPr="00F32421" w:rsidRDefault="00DE171F" w:rsidP="0019250F">
            <w:pPr>
              <w:pStyle w:val="TableText"/>
              <w:rPr>
                <w:lang w:val="en-US"/>
              </w:rPr>
            </w:pPr>
            <w:r>
              <w:rPr>
                <w:lang w:val="en-US"/>
              </w:rPr>
              <w:t>1.</w:t>
            </w:r>
            <w:r w:rsidR="00A005E5">
              <w:rPr>
                <w:lang w:val="en-US"/>
              </w:rPr>
              <w:t>0</w:t>
            </w:r>
          </w:p>
        </w:tc>
        <w:tc>
          <w:tcPr>
            <w:tcW w:w="1189" w:type="dxa"/>
          </w:tcPr>
          <w:p w14:paraId="5ADEAE1E" w14:textId="46A18898" w:rsidR="00027BFA" w:rsidRPr="00F32421" w:rsidRDefault="00E221FE" w:rsidP="0019250F">
            <w:pPr>
              <w:pStyle w:val="TableText"/>
              <w:rPr>
                <w:lang w:val="en-US"/>
              </w:rPr>
            </w:pPr>
            <w:r>
              <w:rPr>
                <w:lang w:val="en-US"/>
              </w:rPr>
              <w:t>16 January 2018</w:t>
            </w:r>
          </w:p>
        </w:tc>
        <w:tc>
          <w:tcPr>
            <w:tcW w:w="7168" w:type="dxa"/>
          </w:tcPr>
          <w:p w14:paraId="2BCAA0CC" w14:textId="525933E8" w:rsidR="00027BFA" w:rsidRPr="00F32421" w:rsidRDefault="00A005E5" w:rsidP="00A005E5">
            <w:pPr>
              <w:pStyle w:val="TableText"/>
              <w:rPr>
                <w:lang w:val="en-US"/>
              </w:rPr>
            </w:pPr>
            <w:r>
              <w:rPr>
                <w:lang w:val="en-US"/>
              </w:rPr>
              <w:t>First issue to accompany publication of Reserve Level Declaration Guidelines</w:t>
            </w:r>
          </w:p>
        </w:tc>
      </w:tr>
    </w:tbl>
    <w:p w14:paraId="294E6DEE" w14:textId="77777777" w:rsidR="00F32421" w:rsidRPr="00F32421" w:rsidRDefault="00F32421" w:rsidP="0019250F">
      <w:pPr>
        <w:pStyle w:val="TableFootnote"/>
        <w:rPr>
          <w:lang w:val="en-US"/>
        </w:rPr>
      </w:pPr>
    </w:p>
    <w:p w14:paraId="40DC0061" w14:textId="77777777" w:rsidR="00710277" w:rsidRDefault="00710277" w:rsidP="004C5114">
      <w:pPr>
        <w:pStyle w:val="BodyText"/>
      </w:pPr>
    </w:p>
    <w:p w14:paraId="53075690" w14:textId="77777777" w:rsidR="00710277" w:rsidRDefault="00710277" w:rsidP="004C5114">
      <w:pPr>
        <w:pStyle w:val="BodyText"/>
      </w:pPr>
    </w:p>
    <w:p w14:paraId="5B90BD89" w14:textId="6E315686" w:rsidR="00C87427" w:rsidRPr="0028199D" w:rsidRDefault="00C87427" w:rsidP="0028199D">
      <w:pPr>
        <w:pStyle w:val="BodyText"/>
        <w:rPr>
          <w:b/>
          <w:sz w:val="40"/>
          <w:szCs w:val="40"/>
        </w:rPr>
      </w:pPr>
    </w:p>
    <w:p w14:paraId="5AC407D6" w14:textId="41B016A4" w:rsidR="004D4775" w:rsidRDefault="004D4775" w:rsidP="0028199D">
      <w:pPr>
        <w:pStyle w:val="BodyText"/>
        <w:rPr>
          <w:b/>
          <w:sz w:val="40"/>
          <w:szCs w:val="40"/>
        </w:rPr>
      </w:pPr>
    </w:p>
    <w:p w14:paraId="1B719D21" w14:textId="77777777" w:rsidR="004D4775" w:rsidRPr="004D4775" w:rsidRDefault="004D4775" w:rsidP="004D4775"/>
    <w:p w14:paraId="212B30FF" w14:textId="77777777" w:rsidR="004D4775" w:rsidRPr="004D4775" w:rsidRDefault="004D4775" w:rsidP="004D4775"/>
    <w:p w14:paraId="4DFD1EA6" w14:textId="77777777" w:rsidR="004D4775" w:rsidRPr="004D4775" w:rsidRDefault="004D4775" w:rsidP="004D4775"/>
    <w:p w14:paraId="0D70C6B0" w14:textId="77777777" w:rsidR="004D4775" w:rsidRPr="004D4775" w:rsidRDefault="004D4775" w:rsidP="004D4775"/>
    <w:p w14:paraId="4E7E2C52" w14:textId="77777777" w:rsidR="004D4775" w:rsidRPr="004D4775" w:rsidRDefault="004D4775" w:rsidP="004D4775"/>
    <w:p w14:paraId="4B1C089D" w14:textId="77777777" w:rsidR="004D4775" w:rsidRPr="004D4775" w:rsidRDefault="004D4775" w:rsidP="004D4775"/>
    <w:p w14:paraId="03D4056B" w14:textId="77777777" w:rsidR="004D4775" w:rsidRPr="004D4775" w:rsidRDefault="004D4775" w:rsidP="004D4775"/>
    <w:p w14:paraId="7B0BD2FA" w14:textId="77777777" w:rsidR="004D4775" w:rsidRPr="004D4775" w:rsidRDefault="004D4775" w:rsidP="004D4775"/>
    <w:p w14:paraId="1B615970" w14:textId="0FA9BE07" w:rsidR="004D4775" w:rsidRDefault="004D4775" w:rsidP="004D4775"/>
    <w:p w14:paraId="7DEBDA19" w14:textId="5C1ADCD4" w:rsidR="004D4775" w:rsidRDefault="004D4775" w:rsidP="004D4775"/>
    <w:p w14:paraId="0D9692A7" w14:textId="77777777" w:rsidR="00C87427" w:rsidRPr="004D4775" w:rsidRDefault="00C87427" w:rsidP="004D4775">
      <w:pPr>
        <w:sectPr w:rsidR="00C87427" w:rsidRPr="004D4775" w:rsidSect="005032D6">
          <w:headerReference w:type="even" r:id="rId16"/>
          <w:headerReference w:type="default" r:id="rId17"/>
          <w:footerReference w:type="even" r:id="rId18"/>
          <w:footerReference w:type="default" r:id="rId19"/>
          <w:headerReference w:type="first" r:id="rId20"/>
          <w:pgSz w:w="11906" w:h="16838" w:code="9"/>
          <w:pgMar w:top="1871" w:right="1361" w:bottom="1871" w:left="1361" w:header="1021" w:footer="567" w:gutter="0"/>
          <w:cols w:space="708"/>
          <w:docGrid w:linePitch="360"/>
        </w:sectPr>
      </w:pPr>
      <w:bookmarkStart w:id="0" w:name="_GoBack"/>
      <w:bookmarkEnd w:id="0"/>
    </w:p>
    <w:p w14:paraId="70BB6C1E" w14:textId="77777777" w:rsidR="00307703" w:rsidRDefault="006B6119">
      <w:pPr>
        <w:pStyle w:val="TOC1"/>
      </w:pPr>
      <w:r w:rsidRPr="00375C24">
        <w:lastRenderedPageBreak/>
        <w:t>Contents</w:t>
      </w:r>
    </w:p>
    <w:p w14:paraId="64AF1047" w14:textId="77777777" w:rsidR="00F52006" w:rsidRDefault="006B6119">
      <w:pPr>
        <w:pStyle w:val="TOC1"/>
        <w:rPr>
          <w:rFonts w:asciiTheme="minorHAnsi" w:eastAsiaTheme="minorEastAsia" w:hAnsiTheme="minorHAnsi" w:cstheme="minorBidi"/>
          <w:b w:val="0"/>
          <w:caps w:val="0"/>
          <w:color w:val="auto"/>
          <w:sz w:val="22"/>
          <w:szCs w:val="22"/>
          <w:lang w:eastAsia="en-AU"/>
        </w:rPr>
      </w:pPr>
      <w:r w:rsidRPr="00520420">
        <w:rPr>
          <w:rFonts w:ascii="Arial Bold" w:hAnsi="Arial Bold"/>
          <w:sz w:val="24"/>
          <w:szCs w:val="22"/>
        </w:rPr>
        <w:fldChar w:fldCharType="begin"/>
      </w:r>
      <w:r w:rsidRPr="00520420">
        <w:instrText xml:space="preserve"> TOC \h \z \t "Heading 1,1,Heading 2,2,Appendix Heading 1,5,Appendix Heading 2,2,Foreword Heading 1,3,Foreword Heading 2,4" </w:instrText>
      </w:r>
      <w:r w:rsidRPr="00520420">
        <w:rPr>
          <w:rFonts w:ascii="Arial Bold" w:hAnsi="Arial Bold"/>
          <w:sz w:val="24"/>
          <w:szCs w:val="22"/>
        </w:rPr>
        <w:fldChar w:fldCharType="separate"/>
      </w:r>
      <w:hyperlink w:anchor="_Toc501460982" w:history="1">
        <w:r w:rsidR="00F52006" w:rsidRPr="00DF7555">
          <w:rPr>
            <w:rStyle w:val="Hyperlink"/>
          </w:rPr>
          <w:t>1.</w:t>
        </w:r>
        <w:r w:rsidR="00F52006">
          <w:rPr>
            <w:rFonts w:asciiTheme="minorHAnsi" w:eastAsiaTheme="minorEastAsia" w:hAnsiTheme="minorHAnsi" w:cstheme="minorBidi"/>
            <w:b w:val="0"/>
            <w:caps w:val="0"/>
            <w:color w:val="auto"/>
            <w:sz w:val="22"/>
            <w:szCs w:val="22"/>
            <w:lang w:eastAsia="en-AU"/>
          </w:rPr>
          <w:tab/>
        </w:r>
        <w:r w:rsidR="00F52006" w:rsidRPr="00DF7555">
          <w:rPr>
            <w:rStyle w:val="Hyperlink"/>
          </w:rPr>
          <w:t>Introduction</w:t>
        </w:r>
        <w:r w:rsidR="00F52006">
          <w:rPr>
            <w:webHidden/>
          </w:rPr>
          <w:tab/>
        </w:r>
        <w:r w:rsidR="00F52006">
          <w:rPr>
            <w:webHidden/>
          </w:rPr>
          <w:fldChar w:fldCharType="begin"/>
        </w:r>
        <w:r w:rsidR="00F52006">
          <w:rPr>
            <w:webHidden/>
          </w:rPr>
          <w:instrText xml:space="preserve"> PAGEREF _Toc501460982 \h </w:instrText>
        </w:r>
        <w:r w:rsidR="00F52006">
          <w:rPr>
            <w:webHidden/>
          </w:rPr>
        </w:r>
        <w:r w:rsidR="00F52006">
          <w:rPr>
            <w:webHidden/>
          </w:rPr>
          <w:fldChar w:fldCharType="separate"/>
        </w:r>
        <w:r w:rsidR="00F52006">
          <w:rPr>
            <w:webHidden/>
          </w:rPr>
          <w:t>4</w:t>
        </w:r>
        <w:r w:rsidR="00F52006">
          <w:rPr>
            <w:webHidden/>
          </w:rPr>
          <w:fldChar w:fldCharType="end"/>
        </w:r>
      </w:hyperlink>
    </w:p>
    <w:p w14:paraId="2B104FF5" w14:textId="77777777" w:rsidR="00F52006" w:rsidRDefault="00110BB1">
      <w:pPr>
        <w:pStyle w:val="TOC2"/>
        <w:rPr>
          <w:color w:val="auto"/>
          <w:sz w:val="22"/>
        </w:rPr>
      </w:pPr>
      <w:hyperlink w:anchor="_Toc501460983" w:history="1">
        <w:r w:rsidR="00F52006" w:rsidRPr="00DF7555">
          <w:rPr>
            <w:rStyle w:val="Hyperlink"/>
          </w:rPr>
          <w:t>1.1.</w:t>
        </w:r>
        <w:r w:rsidR="00F52006">
          <w:rPr>
            <w:color w:val="auto"/>
            <w:sz w:val="22"/>
          </w:rPr>
          <w:tab/>
        </w:r>
        <w:r w:rsidR="00F52006" w:rsidRPr="00DF7555">
          <w:rPr>
            <w:rStyle w:val="Hyperlink"/>
          </w:rPr>
          <w:t>Purpose</w:t>
        </w:r>
        <w:r w:rsidR="00F52006">
          <w:rPr>
            <w:webHidden/>
          </w:rPr>
          <w:tab/>
        </w:r>
        <w:r w:rsidR="00F52006">
          <w:rPr>
            <w:webHidden/>
          </w:rPr>
          <w:fldChar w:fldCharType="begin"/>
        </w:r>
        <w:r w:rsidR="00F52006">
          <w:rPr>
            <w:webHidden/>
          </w:rPr>
          <w:instrText xml:space="preserve"> PAGEREF _Toc501460983 \h </w:instrText>
        </w:r>
        <w:r w:rsidR="00F52006">
          <w:rPr>
            <w:webHidden/>
          </w:rPr>
        </w:r>
        <w:r w:rsidR="00F52006">
          <w:rPr>
            <w:webHidden/>
          </w:rPr>
          <w:fldChar w:fldCharType="separate"/>
        </w:r>
        <w:r w:rsidR="00F52006">
          <w:rPr>
            <w:webHidden/>
          </w:rPr>
          <w:t>4</w:t>
        </w:r>
        <w:r w:rsidR="00F52006">
          <w:rPr>
            <w:webHidden/>
          </w:rPr>
          <w:fldChar w:fldCharType="end"/>
        </w:r>
      </w:hyperlink>
    </w:p>
    <w:p w14:paraId="2BD82D84" w14:textId="77777777" w:rsidR="00F52006" w:rsidRDefault="00110BB1">
      <w:pPr>
        <w:pStyle w:val="TOC2"/>
        <w:rPr>
          <w:color w:val="auto"/>
          <w:sz w:val="22"/>
        </w:rPr>
      </w:pPr>
      <w:hyperlink w:anchor="_Toc501460984" w:history="1">
        <w:r w:rsidR="00F52006" w:rsidRPr="00DF7555">
          <w:rPr>
            <w:rStyle w:val="Hyperlink"/>
          </w:rPr>
          <w:t>1.2.</w:t>
        </w:r>
        <w:r w:rsidR="00F52006">
          <w:rPr>
            <w:color w:val="auto"/>
            <w:sz w:val="22"/>
          </w:rPr>
          <w:tab/>
        </w:r>
        <w:r w:rsidR="00F52006" w:rsidRPr="00DF7555">
          <w:rPr>
            <w:rStyle w:val="Hyperlink"/>
          </w:rPr>
          <w:t>Definitions and Abbreviations</w:t>
        </w:r>
        <w:r w:rsidR="00F52006">
          <w:rPr>
            <w:webHidden/>
          </w:rPr>
          <w:tab/>
        </w:r>
        <w:r w:rsidR="00F52006">
          <w:rPr>
            <w:webHidden/>
          </w:rPr>
          <w:fldChar w:fldCharType="begin"/>
        </w:r>
        <w:r w:rsidR="00F52006">
          <w:rPr>
            <w:webHidden/>
          </w:rPr>
          <w:instrText xml:space="preserve"> PAGEREF _Toc501460984 \h </w:instrText>
        </w:r>
        <w:r w:rsidR="00F52006">
          <w:rPr>
            <w:webHidden/>
          </w:rPr>
        </w:r>
        <w:r w:rsidR="00F52006">
          <w:rPr>
            <w:webHidden/>
          </w:rPr>
          <w:fldChar w:fldCharType="separate"/>
        </w:r>
        <w:r w:rsidR="00F52006">
          <w:rPr>
            <w:webHidden/>
          </w:rPr>
          <w:t>4</w:t>
        </w:r>
        <w:r w:rsidR="00F52006">
          <w:rPr>
            <w:webHidden/>
          </w:rPr>
          <w:fldChar w:fldCharType="end"/>
        </w:r>
      </w:hyperlink>
    </w:p>
    <w:p w14:paraId="1F56EDAF" w14:textId="77777777" w:rsidR="00F52006" w:rsidRDefault="00110BB1">
      <w:pPr>
        <w:pStyle w:val="TOC1"/>
        <w:rPr>
          <w:rFonts w:asciiTheme="minorHAnsi" w:eastAsiaTheme="minorEastAsia" w:hAnsiTheme="minorHAnsi" w:cstheme="minorBidi"/>
          <w:b w:val="0"/>
          <w:caps w:val="0"/>
          <w:color w:val="auto"/>
          <w:sz w:val="22"/>
          <w:szCs w:val="22"/>
          <w:lang w:eastAsia="en-AU"/>
        </w:rPr>
      </w:pPr>
      <w:hyperlink w:anchor="_Toc501460985" w:history="1">
        <w:r w:rsidR="00F52006" w:rsidRPr="00DF7555">
          <w:rPr>
            <w:rStyle w:val="Hyperlink"/>
            <w:lang w:eastAsia="en-AU"/>
          </w:rPr>
          <w:t>2.</w:t>
        </w:r>
        <w:r w:rsidR="00F52006">
          <w:rPr>
            <w:rFonts w:asciiTheme="minorHAnsi" w:eastAsiaTheme="minorEastAsia" w:hAnsiTheme="minorHAnsi" w:cstheme="minorBidi"/>
            <w:b w:val="0"/>
            <w:caps w:val="0"/>
            <w:color w:val="auto"/>
            <w:sz w:val="22"/>
            <w:szCs w:val="22"/>
            <w:lang w:eastAsia="en-AU"/>
          </w:rPr>
          <w:tab/>
        </w:r>
        <w:r w:rsidR="00F52006" w:rsidRPr="00DF7555">
          <w:rPr>
            <w:rStyle w:val="Hyperlink"/>
            <w:lang w:eastAsia="en-AU"/>
          </w:rPr>
          <w:t>Relevant Credible contingency Events by region</w:t>
        </w:r>
        <w:r w:rsidR="00F52006">
          <w:rPr>
            <w:webHidden/>
          </w:rPr>
          <w:tab/>
        </w:r>
        <w:r w:rsidR="00F52006">
          <w:rPr>
            <w:webHidden/>
          </w:rPr>
          <w:fldChar w:fldCharType="begin"/>
        </w:r>
        <w:r w:rsidR="00F52006">
          <w:rPr>
            <w:webHidden/>
          </w:rPr>
          <w:instrText xml:space="preserve"> PAGEREF _Toc501460985 \h </w:instrText>
        </w:r>
        <w:r w:rsidR="00F52006">
          <w:rPr>
            <w:webHidden/>
          </w:rPr>
        </w:r>
        <w:r w:rsidR="00F52006">
          <w:rPr>
            <w:webHidden/>
          </w:rPr>
          <w:fldChar w:fldCharType="separate"/>
        </w:r>
        <w:r w:rsidR="00F52006">
          <w:rPr>
            <w:webHidden/>
          </w:rPr>
          <w:t>4</w:t>
        </w:r>
        <w:r w:rsidR="00F52006">
          <w:rPr>
            <w:webHidden/>
          </w:rPr>
          <w:fldChar w:fldCharType="end"/>
        </w:r>
      </w:hyperlink>
    </w:p>
    <w:p w14:paraId="64E9060C" w14:textId="77777777" w:rsidR="00F52006" w:rsidRDefault="00110BB1">
      <w:pPr>
        <w:pStyle w:val="TOC2"/>
        <w:rPr>
          <w:color w:val="auto"/>
          <w:sz w:val="22"/>
        </w:rPr>
      </w:pPr>
      <w:hyperlink w:anchor="_Toc501460986" w:history="1">
        <w:r w:rsidR="00F52006" w:rsidRPr="00DF7555">
          <w:rPr>
            <w:rStyle w:val="Hyperlink"/>
          </w:rPr>
          <w:t>2.1.</w:t>
        </w:r>
        <w:r w:rsidR="00F52006">
          <w:rPr>
            <w:color w:val="auto"/>
            <w:sz w:val="22"/>
          </w:rPr>
          <w:tab/>
        </w:r>
        <w:r w:rsidR="00F52006" w:rsidRPr="00DF7555">
          <w:rPr>
            <w:rStyle w:val="Hyperlink"/>
          </w:rPr>
          <w:t>Contingencies List 1</w:t>
        </w:r>
        <w:r w:rsidR="00F52006">
          <w:rPr>
            <w:webHidden/>
          </w:rPr>
          <w:tab/>
        </w:r>
        <w:r w:rsidR="00F52006">
          <w:rPr>
            <w:webHidden/>
          </w:rPr>
          <w:fldChar w:fldCharType="begin"/>
        </w:r>
        <w:r w:rsidR="00F52006">
          <w:rPr>
            <w:webHidden/>
          </w:rPr>
          <w:instrText xml:space="preserve"> PAGEREF _Toc501460986 \h </w:instrText>
        </w:r>
        <w:r w:rsidR="00F52006">
          <w:rPr>
            <w:webHidden/>
          </w:rPr>
        </w:r>
        <w:r w:rsidR="00F52006">
          <w:rPr>
            <w:webHidden/>
          </w:rPr>
          <w:fldChar w:fldCharType="separate"/>
        </w:r>
        <w:r w:rsidR="00F52006">
          <w:rPr>
            <w:webHidden/>
          </w:rPr>
          <w:t>4</w:t>
        </w:r>
        <w:r w:rsidR="00F52006">
          <w:rPr>
            <w:webHidden/>
          </w:rPr>
          <w:fldChar w:fldCharType="end"/>
        </w:r>
      </w:hyperlink>
    </w:p>
    <w:p w14:paraId="5A99F265" w14:textId="77777777" w:rsidR="00F52006" w:rsidRDefault="00110BB1">
      <w:pPr>
        <w:pStyle w:val="TOC2"/>
        <w:rPr>
          <w:color w:val="auto"/>
          <w:sz w:val="22"/>
        </w:rPr>
      </w:pPr>
      <w:hyperlink w:anchor="_Toc501460987" w:history="1">
        <w:r w:rsidR="00F52006" w:rsidRPr="00DF7555">
          <w:rPr>
            <w:rStyle w:val="Hyperlink"/>
          </w:rPr>
          <w:t>2.2.</w:t>
        </w:r>
        <w:r w:rsidR="00F52006">
          <w:rPr>
            <w:color w:val="auto"/>
            <w:sz w:val="22"/>
          </w:rPr>
          <w:tab/>
        </w:r>
        <w:r w:rsidR="00F52006" w:rsidRPr="00DF7555">
          <w:rPr>
            <w:rStyle w:val="Hyperlink"/>
          </w:rPr>
          <w:t>Contingencies List 2</w:t>
        </w:r>
        <w:r w:rsidR="00F52006">
          <w:rPr>
            <w:webHidden/>
          </w:rPr>
          <w:tab/>
        </w:r>
        <w:r w:rsidR="00F52006">
          <w:rPr>
            <w:webHidden/>
          </w:rPr>
          <w:fldChar w:fldCharType="begin"/>
        </w:r>
        <w:r w:rsidR="00F52006">
          <w:rPr>
            <w:webHidden/>
          </w:rPr>
          <w:instrText xml:space="preserve"> PAGEREF _Toc501460987 \h </w:instrText>
        </w:r>
        <w:r w:rsidR="00F52006">
          <w:rPr>
            <w:webHidden/>
          </w:rPr>
        </w:r>
        <w:r w:rsidR="00F52006">
          <w:rPr>
            <w:webHidden/>
          </w:rPr>
          <w:fldChar w:fldCharType="separate"/>
        </w:r>
        <w:r w:rsidR="00F52006">
          <w:rPr>
            <w:webHidden/>
          </w:rPr>
          <w:t>5</w:t>
        </w:r>
        <w:r w:rsidR="00F52006">
          <w:rPr>
            <w:webHidden/>
          </w:rPr>
          <w:fldChar w:fldCharType="end"/>
        </w:r>
      </w:hyperlink>
    </w:p>
    <w:p w14:paraId="5351DBAB" w14:textId="74D3587A" w:rsidR="00F14F78" w:rsidRDefault="006B6119" w:rsidP="006B6119">
      <w:r w:rsidRPr="00520420">
        <w:fldChar w:fldCharType="end"/>
      </w:r>
    </w:p>
    <w:p w14:paraId="6AF63728" w14:textId="77777777" w:rsidR="00F14F78" w:rsidRDefault="00F14F78">
      <w:pPr>
        <w:spacing w:after="160" w:line="259" w:lineRule="auto"/>
        <w:jc w:val="left"/>
      </w:pPr>
      <w:r>
        <w:br w:type="page"/>
      </w:r>
    </w:p>
    <w:p w14:paraId="7A8CF79B" w14:textId="77777777" w:rsidR="004839BB" w:rsidRPr="00126592" w:rsidRDefault="004839BB" w:rsidP="00126592">
      <w:pPr>
        <w:pStyle w:val="Heading1"/>
      </w:pPr>
      <w:bookmarkStart w:id="1" w:name="_Toc380666654"/>
      <w:bookmarkStart w:id="2" w:name="_Toc391370315"/>
      <w:bookmarkStart w:id="3" w:name="_Toc445212696"/>
      <w:bookmarkStart w:id="4" w:name="_Toc445384263"/>
      <w:bookmarkStart w:id="5" w:name="_Toc501460982"/>
      <w:r w:rsidRPr="00126592">
        <w:lastRenderedPageBreak/>
        <w:t>Introduction</w:t>
      </w:r>
      <w:bookmarkEnd w:id="1"/>
      <w:bookmarkEnd w:id="2"/>
      <w:bookmarkEnd w:id="3"/>
      <w:bookmarkEnd w:id="4"/>
      <w:bookmarkEnd w:id="5"/>
    </w:p>
    <w:p w14:paraId="0D03FD15" w14:textId="52E0E621" w:rsidR="005537C0" w:rsidRPr="00126592" w:rsidRDefault="0019250F" w:rsidP="00126592">
      <w:pPr>
        <w:pStyle w:val="Heading2"/>
      </w:pPr>
      <w:bookmarkStart w:id="6" w:name="_Toc501460983"/>
      <w:bookmarkStart w:id="7" w:name="_Toc445212697"/>
      <w:bookmarkStart w:id="8" w:name="_Toc445384264"/>
      <w:r>
        <w:t>Purpose</w:t>
      </w:r>
      <w:bookmarkEnd w:id="6"/>
      <w:r>
        <w:t xml:space="preserve"> </w:t>
      </w:r>
      <w:bookmarkEnd w:id="7"/>
      <w:bookmarkEnd w:id="8"/>
    </w:p>
    <w:p w14:paraId="6D10C733" w14:textId="69945B82" w:rsidR="004E3A86" w:rsidRDefault="005537C0" w:rsidP="008F2864">
      <w:pPr>
        <w:pStyle w:val="BodyText"/>
      </w:pPr>
      <w:r>
        <w:t>Th</w:t>
      </w:r>
      <w:r w:rsidR="005A6EB0">
        <w:t>is document lists the</w:t>
      </w:r>
      <w:r w:rsidR="00F14F78">
        <w:t xml:space="preserve"> relevant</w:t>
      </w:r>
      <w:r w:rsidR="005A6EB0">
        <w:t xml:space="preserve"> </w:t>
      </w:r>
      <w:r w:rsidR="005A6EB0">
        <w:rPr>
          <w:i/>
        </w:rPr>
        <w:t xml:space="preserve">credible contingency </w:t>
      </w:r>
      <w:r w:rsidR="005A6EB0" w:rsidRPr="00F14F78">
        <w:t>events</w:t>
      </w:r>
      <w:r w:rsidR="00F14F78">
        <w:t xml:space="preserve">, by </w:t>
      </w:r>
      <w:r w:rsidR="00F14F78" w:rsidRPr="00495820">
        <w:rPr>
          <w:i/>
        </w:rPr>
        <w:t>region</w:t>
      </w:r>
      <w:r w:rsidR="00F14F78">
        <w:t xml:space="preserve">, that are </w:t>
      </w:r>
      <w:r w:rsidR="005A6EB0" w:rsidRPr="00F14F78">
        <w:t>considered</w:t>
      </w:r>
      <w:r w:rsidR="005A6EB0">
        <w:t xml:space="preserve"> by AEMO for the purposes of clause [4] of the Reserve Level Declaration Guidelines (</w:t>
      </w:r>
      <w:r w:rsidR="005A6EB0" w:rsidRPr="005A6EB0">
        <w:rPr>
          <w:b/>
        </w:rPr>
        <w:t>Guidelines</w:t>
      </w:r>
      <w:r w:rsidR="005A6EB0">
        <w:t>), made under clause 4.8.4A of the National Electricity Rules (</w:t>
      </w:r>
      <w:r w:rsidR="005A6EB0">
        <w:rPr>
          <w:b/>
        </w:rPr>
        <w:t>NER</w:t>
      </w:r>
      <w:r w:rsidR="005A6EB0">
        <w:t xml:space="preserve">). </w:t>
      </w:r>
    </w:p>
    <w:p w14:paraId="000F2FCC" w14:textId="79B91F4A" w:rsidR="00521B01" w:rsidRDefault="00521B01" w:rsidP="008F2864">
      <w:pPr>
        <w:pStyle w:val="BodyText"/>
      </w:pPr>
      <w:r>
        <w:t xml:space="preserve">The Guidelines may be found on AEMO’s website: </w:t>
      </w:r>
      <w:hyperlink r:id="rId21" w:history="1">
        <w:r w:rsidRPr="00946F49">
          <w:rPr>
            <w:rStyle w:val="Hyperlink"/>
            <w:rFonts w:eastAsiaTheme="minorHAnsi" w:cstheme="minorBidi"/>
            <w:sz w:val="20"/>
            <w:szCs w:val="22"/>
          </w:rPr>
          <w:t>www.aemo.com.au</w:t>
        </w:r>
      </w:hyperlink>
      <w:r>
        <w:t xml:space="preserve">. </w:t>
      </w:r>
    </w:p>
    <w:p w14:paraId="2FB22BA9" w14:textId="3D58138F" w:rsidR="005537C0" w:rsidRPr="00656456" w:rsidRDefault="005A6EB0" w:rsidP="00126592">
      <w:pPr>
        <w:pStyle w:val="Heading2"/>
      </w:pPr>
      <w:bookmarkStart w:id="9" w:name="_Toc445212698"/>
      <w:bookmarkStart w:id="10" w:name="_Toc445384265"/>
      <w:bookmarkStart w:id="11" w:name="_Toc501460984"/>
      <w:r>
        <w:t>Definitions and Abbreviations</w:t>
      </w:r>
      <w:bookmarkEnd w:id="9"/>
      <w:bookmarkEnd w:id="10"/>
      <w:bookmarkEnd w:id="11"/>
    </w:p>
    <w:p w14:paraId="6141ACC3" w14:textId="77777777" w:rsidR="005537C0" w:rsidRPr="00126592" w:rsidRDefault="00E85C7E" w:rsidP="00126592">
      <w:pPr>
        <w:pStyle w:val="Heading3"/>
      </w:pPr>
      <w:r w:rsidRPr="00126592">
        <w:t>Glossary</w:t>
      </w:r>
    </w:p>
    <w:p w14:paraId="1ED14C7C" w14:textId="77777777" w:rsidR="005A6EB0" w:rsidRDefault="005A6EB0" w:rsidP="00F37294">
      <w:pPr>
        <w:pStyle w:val="BodyText"/>
      </w:pPr>
      <w:r>
        <w:t xml:space="preserve">Terms defined in the NER and the Guidelines have the same meanings when used in this document. </w:t>
      </w:r>
    </w:p>
    <w:p w14:paraId="62C994A5" w14:textId="77777777" w:rsidR="005537C0" w:rsidRDefault="005537C0" w:rsidP="0019250F">
      <w:pPr>
        <w:pStyle w:val="TableFootnote"/>
      </w:pPr>
    </w:p>
    <w:p w14:paraId="6A585BF9" w14:textId="29C83F90" w:rsidR="008F2864" w:rsidRDefault="005A6EB0" w:rsidP="00126592">
      <w:pPr>
        <w:pStyle w:val="Heading1"/>
        <w:rPr>
          <w:lang w:eastAsia="en-AU"/>
        </w:rPr>
      </w:pPr>
      <w:bookmarkStart w:id="12" w:name="_Toc445212700"/>
      <w:bookmarkStart w:id="13" w:name="_Toc445384267"/>
      <w:bookmarkStart w:id="14" w:name="_Toc501460985"/>
      <w:r>
        <w:rPr>
          <w:lang w:eastAsia="en-AU"/>
        </w:rPr>
        <w:t>Relevant Credible contingency Events</w:t>
      </w:r>
      <w:bookmarkEnd w:id="12"/>
      <w:bookmarkEnd w:id="13"/>
      <w:r w:rsidR="00D65556">
        <w:rPr>
          <w:lang w:eastAsia="en-AU"/>
        </w:rPr>
        <w:t xml:space="preserve"> by region</w:t>
      </w:r>
      <w:bookmarkEnd w:id="14"/>
    </w:p>
    <w:p w14:paraId="69EFCC34" w14:textId="77777777" w:rsidR="00CD76ED" w:rsidRPr="00CD76ED" w:rsidRDefault="00CD76ED" w:rsidP="00F52006">
      <w:pPr>
        <w:pStyle w:val="ResetPara"/>
        <w:rPr>
          <w:lang w:eastAsia="en-AU"/>
        </w:rPr>
      </w:pPr>
    </w:p>
    <w:p w14:paraId="452DB08E" w14:textId="4E5237B8" w:rsidR="000F4EBA" w:rsidRDefault="00CD76ED" w:rsidP="00CD76ED">
      <w:pPr>
        <w:pStyle w:val="BodyText"/>
      </w:pPr>
      <w:r>
        <w:t>Two</w:t>
      </w:r>
      <w:r w:rsidR="00307703">
        <w:t xml:space="preserve"> </w:t>
      </w:r>
      <w:r w:rsidR="00307703">
        <w:rPr>
          <w:noProof/>
        </w:rPr>
        <w:t>separate</w:t>
      </w:r>
      <w:r>
        <w:t xml:space="preserve"> credible contingenc</w:t>
      </w:r>
      <w:r w:rsidR="000F4EBA">
        <w:t>y</w:t>
      </w:r>
      <w:r>
        <w:t xml:space="preserve"> lists have been prepared </w:t>
      </w:r>
      <w:r w:rsidR="00C0787F">
        <w:t xml:space="preserve">due to the different dates for when the </w:t>
      </w:r>
      <w:r w:rsidR="00C0787F">
        <w:rPr>
          <w:i/>
          <w:lang w:val="en-US"/>
        </w:rPr>
        <w:t xml:space="preserve">National Electricity Amendment (Declaration of lack of reserve conditions) Rule 2017 </w:t>
      </w:r>
      <w:r w:rsidR="00C0787F" w:rsidRPr="00C0787F">
        <w:rPr>
          <w:noProof/>
        </w:rPr>
        <w:t>takes effect and when an updated PASA solver enter</w:t>
      </w:r>
      <w:r w:rsidR="00C0787F">
        <w:rPr>
          <w:noProof/>
        </w:rPr>
        <w:t>s</w:t>
      </w:r>
      <w:r w:rsidR="00C0787F" w:rsidRPr="00C0787F">
        <w:rPr>
          <w:noProof/>
        </w:rPr>
        <w:t xml:space="preserve"> production</w:t>
      </w:r>
      <w:r w:rsidR="000F4EBA">
        <w:rPr>
          <w:noProof/>
        </w:rPr>
        <w:t xml:space="preserve"> for the Dynamic LOR PASA </w:t>
      </w:r>
      <w:r w:rsidR="00C0787F">
        <w:rPr>
          <w:noProof/>
        </w:rPr>
        <w:t>project</w:t>
      </w:r>
      <w:r w:rsidR="000F4EBA">
        <w:rPr>
          <w:noProof/>
        </w:rPr>
        <w:t>.</w:t>
      </w:r>
      <w:r w:rsidR="00C0787F">
        <w:rPr>
          <w:noProof/>
        </w:rPr>
        <w:t xml:space="preserve"> </w:t>
      </w:r>
      <w:r w:rsidR="000F4EBA">
        <w:t>The Dynamic LOR PASA solver includes additional capabilities to allow generation and interconnectors to be grouped and output values to be dynamically calculated.</w:t>
      </w:r>
    </w:p>
    <w:p w14:paraId="68AC4674" w14:textId="3968F85D" w:rsidR="000F4EBA" w:rsidRDefault="00CD76ED" w:rsidP="00CD76ED">
      <w:pPr>
        <w:pStyle w:val="BodyText"/>
      </w:pPr>
      <w:r>
        <w:t>Contingency List 1 includes generation and network contingencies that will be considered in the Reserve Assessment from 16 January 201</w:t>
      </w:r>
      <w:r w:rsidR="000F4EBA">
        <w:t>8</w:t>
      </w:r>
      <w:r>
        <w:t xml:space="preserve"> until the Dynamic LOR PASA solver </w:t>
      </w:r>
      <w:r w:rsidR="000F4EBA">
        <w:t>is implemented in to the</w:t>
      </w:r>
      <w:r>
        <w:t xml:space="preserve"> production</w:t>
      </w:r>
      <w:r w:rsidR="000F4EBA">
        <w:t xml:space="preserve"> environment. Contingency List 2 will take effect once </w:t>
      </w:r>
      <w:r w:rsidR="00C0787F">
        <w:t xml:space="preserve">the </w:t>
      </w:r>
      <w:r w:rsidR="000F4EBA">
        <w:t xml:space="preserve">Dynamic LOR PASA solver </w:t>
      </w:r>
      <w:r w:rsidR="006565A5">
        <w:t xml:space="preserve">is </w:t>
      </w:r>
      <w:r w:rsidR="000F4EBA">
        <w:t>implemented and include</w:t>
      </w:r>
      <w:r w:rsidR="00C0787F">
        <w:t>s</w:t>
      </w:r>
      <w:r w:rsidR="000F4EBA">
        <w:t xml:space="preserve"> additional generation and network contingencies that will be explicitly included in the Reserve Assessment</w:t>
      </w:r>
      <w:r w:rsidR="00CA3FD2">
        <w:t xml:space="preserve"> from then onwards.</w:t>
      </w:r>
    </w:p>
    <w:p w14:paraId="1FA718E1" w14:textId="43062B9F" w:rsidR="00CA3FD2" w:rsidRPr="00AC67A3" w:rsidRDefault="00CD76ED" w:rsidP="00CD76ED">
      <w:pPr>
        <w:pStyle w:val="BodyText"/>
      </w:pPr>
      <w:r>
        <w:t xml:space="preserve">The Dynamic LOR PASA solver is currently expected to </w:t>
      </w:r>
      <w:r w:rsidR="006565A5">
        <w:t xml:space="preserve">be implemented in to </w:t>
      </w:r>
      <w:r>
        <w:t xml:space="preserve">production </w:t>
      </w:r>
      <w:r w:rsidR="00B603A4">
        <w:t xml:space="preserve">in </w:t>
      </w:r>
      <w:proofErr w:type="gramStart"/>
      <w:r w:rsidR="00B603A4">
        <w:t xml:space="preserve">late </w:t>
      </w:r>
      <w:r w:rsidRPr="00192275">
        <w:rPr>
          <w:vertAlign w:val="superscript"/>
        </w:rPr>
        <w:t xml:space="preserve"> </w:t>
      </w:r>
      <w:r>
        <w:t>January</w:t>
      </w:r>
      <w:proofErr w:type="gramEnd"/>
      <w:r>
        <w:t xml:space="preserve"> 2018, a market notice will issued once this occurs and Contingency List 2 takes effect.</w:t>
      </w:r>
    </w:p>
    <w:p w14:paraId="5DFB2FB6" w14:textId="77777777" w:rsidR="00CD76ED" w:rsidRPr="00CD76ED" w:rsidRDefault="00CD76ED" w:rsidP="00F52006">
      <w:pPr>
        <w:pStyle w:val="ResetPara"/>
        <w:rPr>
          <w:lang w:eastAsia="en-AU"/>
        </w:rPr>
      </w:pPr>
    </w:p>
    <w:p w14:paraId="15E846C7" w14:textId="77777777" w:rsidR="00AC67A3" w:rsidRPr="00AC67A3" w:rsidRDefault="00AC67A3" w:rsidP="00F52006">
      <w:pPr>
        <w:pStyle w:val="ResetPara"/>
        <w:rPr>
          <w:lang w:eastAsia="en-AU"/>
        </w:rPr>
      </w:pPr>
    </w:p>
    <w:p w14:paraId="5D54C02A" w14:textId="6ACFD87A" w:rsidR="00AC67A3" w:rsidRDefault="00C0787F" w:rsidP="00AC67A3">
      <w:pPr>
        <w:pStyle w:val="Heading2"/>
      </w:pPr>
      <w:bookmarkStart w:id="15" w:name="_Toc501460986"/>
      <w:r>
        <w:t xml:space="preserve">Contingency </w:t>
      </w:r>
      <w:r w:rsidR="00AC67A3">
        <w:t>List 1</w:t>
      </w:r>
      <w:bookmarkEnd w:id="15"/>
    </w:p>
    <w:p w14:paraId="175D03E5" w14:textId="77777777" w:rsidR="00AC67A3" w:rsidRPr="00BA4F45" w:rsidRDefault="00AC67A3" w:rsidP="00AC67A3">
      <w:pPr>
        <w:pStyle w:val="Heading3"/>
        <w:rPr>
          <w:lang w:eastAsia="en-AU"/>
        </w:rPr>
      </w:pPr>
      <w:r>
        <w:rPr>
          <w:lang w:eastAsia="en-AU"/>
        </w:rPr>
        <w:t>Generator Contingencies</w:t>
      </w:r>
    </w:p>
    <w:p w14:paraId="666B2C99" w14:textId="77777777" w:rsidR="00AC67A3" w:rsidRDefault="00AC67A3" w:rsidP="00AC67A3">
      <w:pPr>
        <w:pStyle w:val="ResetPara"/>
        <w:rPr>
          <w:lang w:eastAsia="en-AU"/>
        </w:rPr>
      </w:pPr>
    </w:p>
    <w:p w14:paraId="389AE391" w14:textId="77777777" w:rsidR="00AC67A3" w:rsidRDefault="00AC67A3" w:rsidP="00AC67A3">
      <w:pPr>
        <w:pStyle w:val="BodyText"/>
      </w:pPr>
      <w:r>
        <w:t>In all regions the following generation events are considered to be a credible contingency for LOR declaration:</w:t>
      </w:r>
    </w:p>
    <w:p w14:paraId="2919006D" w14:textId="77777777" w:rsidR="00AC67A3" w:rsidRDefault="00AC67A3" w:rsidP="00AC67A3">
      <w:pPr>
        <w:pStyle w:val="BodyText"/>
        <w:numPr>
          <w:ilvl w:val="0"/>
          <w:numId w:val="22"/>
        </w:numPr>
      </w:pPr>
      <w:r>
        <w:t xml:space="preserve">Loss of the largest single </w:t>
      </w:r>
      <w:r>
        <w:rPr>
          <w:i/>
        </w:rPr>
        <w:t>scheduled generating unit</w:t>
      </w:r>
      <w:r>
        <w:t>. Size is as indicated by its bid market availability.</w:t>
      </w:r>
    </w:p>
    <w:p w14:paraId="3F322BC4" w14:textId="77777777" w:rsidR="00AC67A3" w:rsidRDefault="00AC67A3" w:rsidP="00AC67A3">
      <w:pPr>
        <w:pStyle w:val="Heading3"/>
        <w:rPr>
          <w:lang w:eastAsia="en-AU"/>
        </w:rPr>
      </w:pPr>
      <w:r>
        <w:rPr>
          <w:lang w:eastAsia="en-AU"/>
        </w:rPr>
        <w:t>Network Contingencies</w:t>
      </w:r>
    </w:p>
    <w:p w14:paraId="02C5D3B3" w14:textId="4B3360B1" w:rsidR="00AC67A3" w:rsidRDefault="00AC67A3" w:rsidP="00AC67A3">
      <w:pPr>
        <w:pStyle w:val="BodyText"/>
        <w:rPr>
          <w:lang w:eastAsia="en-AU"/>
        </w:rPr>
      </w:pPr>
      <w:r>
        <w:rPr>
          <w:lang w:eastAsia="en-AU"/>
        </w:rPr>
        <w:t xml:space="preserve">For capacities indicated below with an asterisk “*”, the value will be calculated dynamically. The maximum potential capacity is shown in the tables. The dynamic </w:t>
      </w:r>
      <w:r w:rsidR="006565A5">
        <w:rPr>
          <w:lang w:eastAsia="en-AU"/>
        </w:rPr>
        <w:t xml:space="preserve">output </w:t>
      </w:r>
      <w:r w:rsidR="00E221FE">
        <w:rPr>
          <w:lang w:eastAsia="en-AU"/>
        </w:rPr>
        <w:t>quantities</w:t>
      </w:r>
      <w:r>
        <w:rPr>
          <w:lang w:eastAsia="en-AU"/>
        </w:rPr>
        <w:t xml:space="preserve"> will be calculated from:</w:t>
      </w:r>
    </w:p>
    <w:p w14:paraId="7A57372A" w14:textId="77777777" w:rsidR="00AC67A3" w:rsidRDefault="00AC67A3" w:rsidP="00AC67A3">
      <w:pPr>
        <w:pStyle w:val="BodyText"/>
        <w:numPr>
          <w:ilvl w:val="0"/>
          <w:numId w:val="23"/>
        </w:numPr>
        <w:rPr>
          <w:lang w:eastAsia="en-AU"/>
        </w:rPr>
      </w:pPr>
      <w:r>
        <w:rPr>
          <w:lang w:eastAsia="en-AU"/>
        </w:rPr>
        <w:t xml:space="preserve">For </w:t>
      </w:r>
      <w:r>
        <w:rPr>
          <w:i/>
          <w:lang w:eastAsia="en-AU"/>
        </w:rPr>
        <w:t>scheduled generating units</w:t>
      </w:r>
      <w:r>
        <w:rPr>
          <w:lang w:eastAsia="en-AU"/>
        </w:rPr>
        <w:t>, the bid market availability.</w:t>
      </w:r>
    </w:p>
    <w:p w14:paraId="7EEC4EDA" w14:textId="77777777" w:rsidR="00AC67A3" w:rsidRDefault="00AC67A3" w:rsidP="00AC67A3">
      <w:pPr>
        <w:pStyle w:val="BodyText"/>
        <w:numPr>
          <w:ilvl w:val="0"/>
          <w:numId w:val="23"/>
        </w:numPr>
        <w:rPr>
          <w:lang w:eastAsia="en-AU"/>
        </w:rPr>
      </w:pPr>
      <w:r>
        <w:rPr>
          <w:lang w:eastAsia="en-AU"/>
        </w:rPr>
        <w:t>For interconnectors the interconnector flow calculated in the PASA solution.</w:t>
      </w:r>
    </w:p>
    <w:p w14:paraId="4A99F70F" w14:textId="77777777" w:rsidR="00AC67A3" w:rsidRPr="000D13F4" w:rsidRDefault="00AC67A3" w:rsidP="00AC67A3">
      <w:pPr>
        <w:pStyle w:val="BodyText"/>
        <w:rPr>
          <w:lang w:eastAsia="en-AU"/>
        </w:rPr>
      </w:pPr>
    </w:p>
    <w:p w14:paraId="0FA7C9A7" w14:textId="77777777" w:rsidR="00AC67A3" w:rsidRDefault="00AC67A3" w:rsidP="00AC67A3">
      <w:pPr>
        <w:pStyle w:val="Heading4"/>
      </w:pPr>
      <w:r>
        <w:t xml:space="preserve">South </w:t>
      </w:r>
      <w:r w:rsidRPr="00AC67A3">
        <w:t>Australia</w:t>
      </w:r>
    </w:p>
    <w:tbl>
      <w:tblPr>
        <w:tblStyle w:val="TableGrid"/>
        <w:tblW w:w="8748" w:type="dxa"/>
        <w:tblInd w:w="-5" w:type="dxa"/>
        <w:tblLook w:val="04A0" w:firstRow="1" w:lastRow="0" w:firstColumn="1" w:lastColumn="0" w:noHBand="0" w:noVBand="1"/>
      </w:tblPr>
      <w:tblGrid>
        <w:gridCol w:w="3402"/>
        <w:gridCol w:w="3119"/>
        <w:gridCol w:w="2227"/>
      </w:tblGrid>
      <w:tr w:rsidR="00AC67A3" w:rsidRPr="002A6422" w14:paraId="0734B8CD" w14:textId="77777777" w:rsidTr="00E216B5">
        <w:tc>
          <w:tcPr>
            <w:tcW w:w="3402" w:type="dxa"/>
          </w:tcPr>
          <w:p w14:paraId="32EFBEEC" w14:textId="77777777" w:rsidR="00AC67A3" w:rsidRPr="002A6422" w:rsidRDefault="00AC67A3" w:rsidP="00E216B5">
            <w:pPr>
              <w:spacing w:after="0"/>
              <w:rPr>
                <w:b/>
              </w:rPr>
            </w:pPr>
            <w:r w:rsidRPr="002A6422">
              <w:rPr>
                <w:b/>
              </w:rPr>
              <w:t>Contingency</w:t>
            </w:r>
          </w:p>
        </w:tc>
        <w:tc>
          <w:tcPr>
            <w:tcW w:w="3119" w:type="dxa"/>
          </w:tcPr>
          <w:p w14:paraId="327C2081" w14:textId="77777777" w:rsidR="00AC67A3" w:rsidRPr="002A6422" w:rsidRDefault="00AC67A3" w:rsidP="00E216B5">
            <w:pPr>
              <w:spacing w:after="0"/>
              <w:rPr>
                <w:b/>
              </w:rPr>
            </w:pPr>
            <w:r>
              <w:rPr>
                <w:b/>
              </w:rPr>
              <w:t>R</w:t>
            </w:r>
            <w:r w:rsidRPr="00E722E2">
              <w:rPr>
                <w:b/>
              </w:rPr>
              <w:t>isk</w:t>
            </w:r>
          </w:p>
        </w:tc>
        <w:tc>
          <w:tcPr>
            <w:tcW w:w="2227" w:type="dxa"/>
          </w:tcPr>
          <w:p w14:paraId="5EF7B440" w14:textId="77777777" w:rsidR="00AC67A3" w:rsidRPr="002A6422" w:rsidRDefault="00AC67A3" w:rsidP="00E216B5">
            <w:pPr>
              <w:spacing w:after="0"/>
              <w:rPr>
                <w:b/>
              </w:rPr>
            </w:pPr>
            <w:r w:rsidRPr="002A6422">
              <w:rPr>
                <w:b/>
              </w:rPr>
              <w:t>Capacity at risk</w:t>
            </w:r>
          </w:p>
          <w:p w14:paraId="5FCAEEB6" w14:textId="77777777" w:rsidR="00AC67A3" w:rsidRPr="002A6422" w:rsidRDefault="00AC67A3" w:rsidP="00E216B5">
            <w:pPr>
              <w:spacing w:after="0"/>
              <w:rPr>
                <w:b/>
              </w:rPr>
            </w:pPr>
            <w:r w:rsidRPr="002A6422">
              <w:rPr>
                <w:b/>
              </w:rPr>
              <w:t>(MW)</w:t>
            </w:r>
          </w:p>
        </w:tc>
      </w:tr>
      <w:tr w:rsidR="00AC67A3" w14:paraId="65DF814C" w14:textId="77777777" w:rsidTr="00E216B5">
        <w:tc>
          <w:tcPr>
            <w:tcW w:w="3402" w:type="dxa"/>
          </w:tcPr>
          <w:p w14:paraId="0CA24D8B" w14:textId="77777777" w:rsidR="00AC67A3" w:rsidRDefault="00AC67A3" w:rsidP="00E216B5">
            <w:pPr>
              <w:spacing w:after="0"/>
            </w:pPr>
            <w:r>
              <w:t>Murraylink</w:t>
            </w:r>
          </w:p>
        </w:tc>
        <w:tc>
          <w:tcPr>
            <w:tcW w:w="3119" w:type="dxa"/>
          </w:tcPr>
          <w:p w14:paraId="49858265" w14:textId="77777777" w:rsidR="00AC67A3" w:rsidRDefault="00AC67A3" w:rsidP="00E216B5">
            <w:pPr>
              <w:spacing w:after="0"/>
            </w:pPr>
            <w:r>
              <w:t>Murraylink</w:t>
            </w:r>
          </w:p>
        </w:tc>
        <w:tc>
          <w:tcPr>
            <w:tcW w:w="2227" w:type="dxa"/>
          </w:tcPr>
          <w:p w14:paraId="21E83FAD" w14:textId="77777777" w:rsidR="00AC67A3" w:rsidRDefault="00AC67A3" w:rsidP="00E216B5">
            <w:pPr>
              <w:spacing w:after="0"/>
            </w:pPr>
            <w:r>
              <w:t>220</w:t>
            </w:r>
          </w:p>
        </w:tc>
      </w:tr>
      <w:tr w:rsidR="00AC67A3" w14:paraId="628E337F" w14:textId="77777777" w:rsidTr="00E216B5">
        <w:tc>
          <w:tcPr>
            <w:tcW w:w="3402" w:type="dxa"/>
          </w:tcPr>
          <w:p w14:paraId="4A703C51" w14:textId="51DB0B1C" w:rsidR="00AC67A3" w:rsidRPr="002E29FE" w:rsidRDefault="00AC67A3" w:rsidP="006565A5">
            <w:pPr>
              <w:spacing w:after="0"/>
            </w:pPr>
            <w:r>
              <w:lastRenderedPageBreak/>
              <w:t>Either Heywood – South East 275 kV</w:t>
            </w:r>
            <w:r w:rsidR="006565A5">
              <w:t xml:space="preserve"> (No.1 and No.2)</w:t>
            </w:r>
            <w:r>
              <w:t xml:space="preserve"> line.</w:t>
            </w:r>
          </w:p>
        </w:tc>
        <w:tc>
          <w:tcPr>
            <w:tcW w:w="3119" w:type="dxa"/>
          </w:tcPr>
          <w:p w14:paraId="4EC6C4FE" w14:textId="77777777" w:rsidR="00AC67A3" w:rsidRDefault="00AC67A3" w:rsidP="00E216B5">
            <w:pPr>
              <w:spacing w:after="0"/>
              <w:jc w:val="left"/>
            </w:pPr>
            <w:r w:rsidRPr="008714B3">
              <w:t>Heywood is a double circuit interconnector. On the loss of one circuit, Heywood interconn</w:t>
            </w:r>
            <w:r>
              <w:t>ector flow from Victoria to South Australia will be limited to 250 MW.</w:t>
            </w:r>
            <w:r w:rsidRPr="008714B3">
              <w:t xml:space="preserve"> </w:t>
            </w:r>
            <w:r>
              <w:t>Therefore,</w:t>
            </w:r>
            <w:r w:rsidRPr="008714B3">
              <w:t xml:space="preserve"> the</w:t>
            </w:r>
            <w:r>
              <w:t xml:space="preserve"> normal capacity at risk </w:t>
            </w:r>
            <w:r w:rsidRPr="008714B3">
              <w:t xml:space="preserve">associated with the loss of </w:t>
            </w:r>
            <w:r>
              <w:t>a</w:t>
            </w:r>
            <w:r w:rsidRPr="008714B3">
              <w:t xml:space="preserve"> </w:t>
            </w:r>
            <w:r>
              <w:t>circuit</w:t>
            </w:r>
            <w:r w:rsidRPr="008714B3">
              <w:t xml:space="preserve"> of</w:t>
            </w:r>
            <w:r>
              <w:t xml:space="preserve"> the</w:t>
            </w:r>
            <w:r w:rsidRPr="008714B3">
              <w:t xml:space="preserve"> Heywood interconnector is 350 MW.</w:t>
            </w:r>
            <w:r>
              <w:t xml:space="preserve"> The capacity at risk for the loss of both elements would normally be 600 MW. </w:t>
            </w:r>
          </w:p>
        </w:tc>
        <w:tc>
          <w:tcPr>
            <w:tcW w:w="2227" w:type="dxa"/>
          </w:tcPr>
          <w:p w14:paraId="3A802EBF" w14:textId="77777777" w:rsidR="00AC67A3" w:rsidRDefault="00AC67A3" w:rsidP="00E216B5">
            <w:pPr>
              <w:spacing w:after="0"/>
            </w:pPr>
            <w:r>
              <w:t>350</w:t>
            </w:r>
          </w:p>
        </w:tc>
      </w:tr>
    </w:tbl>
    <w:p w14:paraId="045A6E60" w14:textId="77777777" w:rsidR="00AC67A3" w:rsidRDefault="00AC67A3" w:rsidP="00AC67A3">
      <w:pPr>
        <w:pStyle w:val="Heading4"/>
      </w:pPr>
      <w:r>
        <w:t>Victoria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261"/>
        <w:gridCol w:w="1972"/>
      </w:tblGrid>
      <w:tr w:rsidR="00AC67A3" w:rsidRPr="008F7F71" w14:paraId="77DD2B5D" w14:textId="77777777" w:rsidTr="00E216B5">
        <w:trPr>
          <w:tblHeader/>
        </w:trPr>
        <w:tc>
          <w:tcPr>
            <w:tcW w:w="3397" w:type="dxa"/>
          </w:tcPr>
          <w:p w14:paraId="1C49072F" w14:textId="77777777" w:rsidR="00AC67A3" w:rsidRPr="008F7F71" w:rsidRDefault="00AC67A3" w:rsidP="00E216B5">
            <w:pPr>
              <w:spacing w:after="0"/>
              <w:rPr>
                <w:b/>
              </w:rPr>
            </w:pPr>
            <w:r w:rsidRPr="008F7F71">
              <w:rPr>
                <w:b/>
              </w:rPr>
              <w:t>Contingency</w:t>
            </w:r>
          </w:p>
        </w:tc>
        <w:tc>
          <w:tcPr>
            <w:tcW w:w="3261" w:type="dxa"/>
          </w:tcPr>
          <w:p w14:paraId="38A5534B" w14:textId="77777777" w:rsidR="00AC67A3" w:rsidRPr="008F7F71" w:rsidRDefault="00AC67A3" w:rsidP="00E216B5">
            <w:pPr>
              <w:spacing w:after="0"/>
              <w:rPr>
                <w:b/>
              </w:rPr>
            </w:pPr>
            <w:r>
              <w:rPr>
                <w:b/>
              </w:rPr>
              <w:t>R</w:t>
            </w:r>
            <w:r w:rsidRPr="00E722E2">
              <w:rPr>
                <w:b/>
              </w:rPr>
              <w:t>isk</w:t>
            </w:r>
          </w:p>
        </w:tc>
        <w:tc>
          <w:tcPr>
            <w:tcW w:w="1972" w:type="dxa"/>
          </w:tcPr>
          <w:p w14:paraId="39792715" w14:textId="77777777" w:rsidR="00AC67A3" w:rsidRPr="008F7F71" w:rsidRDefault="00AC67A3" w:rsidP="00E216B5">
            <w:pPr>
              <w:spacing w:after="0"/>
              <w:rPr>
                <w:b/>
              </w:rPr>
            </w:pPr>
            <w:r w:rsidRPr="008F7F71">
              <w:rPr>
                <w:b/>
              </w:rPr>
              <w:t>Capacity at risk</w:t>
            </w:r>
            <w:r>
              <w:rPr>
                <w:b/>
              </w:rPr>
              <w:t xml:space="preserve"> (MW)</w:t>
            </w:r>
          </w:p>
        </w:tc>
      </w:tr>
      <w:tr w:rsidR="00AC67A3" w14:paraId="6F140ED2" w14:textId="77777777" w:rsidTr="00E216B5">
        <w:tc>
          <w:tcPr>
            <w:tcW w:w="3397" w:type="dxa"/>
          </w:tcPr>
          <w:p w14:paraId="7AD58DB6" w14:textId="77777777" w:rsidR="00AC67A3" w:rsidRDefault="00AC67A3" w:rsidP="00E216B5">
            <w:pPr>
              <w:spacing w:after="0"/>
            </w:pPr>
            <w:r>
              <w:t>Basslink</w:t>
            </w:r>
          </w:p>
        </w:tc>
        <w:tc>
          <w:tcPr>
            <w:tcW w:w="3261" w:type="dxa"/>
          </w:tcPr>
          <w:p w14:paraId="6DAA73EE" w14:textId="77777777" w:rsidR="00AC67A3" w:rsidRDefault="00AC67A3" w:rsidP="00E216B5">
            <w:pPr>
              <w:spacing w:after="0"/>
            </w:pPr>
            <w:r>
              <w:t>Basslink</w:t>
            </w:r>
          </w:p>
        </w:tc>
        <w:tc>
          <w:tcPr>
            <w:tcW w:w="1972" w:type="dxa"/>
          </w:tcPr>
          <w:p w14:paraId="3F2E5232" w14:textId="77777777" w:rsidR="00AC67A3" w:rsidRDefault="00AC67A3" w:rsidP="00E216B5">
            <w:pPr>
              <w:spacing w:after="0"/>
            </w:pPr>
            <w:r>
              <w:t>594*</w:t>
            </w:r>
          </w:p>
        </w:tc>
      </w:tr>
    </w:tbl>
    <w:p w14:paraId="6F897324" w14:textId="77777777" w:rsidR="00AC67A3" w:rsidRDefault="00AC67A3" w:rsidP="00AC67A3"/>
    <w:p w14:paraId="071318CE" w14:textId="77777777" w:rsidR="00AC67A3" w:rsidRDefault="00AC67A3" w:rsidP="00AC67A3">
      <w:pPr>
        <w:pStyle w:val="Heading4"/>
      </w:pPr>
      <w:r>
        <w:t>Tasmania</w:t>
      </w:r>
    </w:p>
    <w:p w14:paraId="02AB3988" w14:textId="77777777" w:rsidR="00AC67A3" w:rsidRDefault="00AC67A3" w:rsidP="00AC67A3">
      <w:pPr>
        <w:pStyle w:val="ResetPara"/>
      </w:pPr>
    </w:p>
    <w:p w14:paraId="7DCACDB3" w14:textId="77777777" w:rsidR="00AC67A3" w:rsidRPr="004F5D65" w:rsidRDefault="00AC67A3" w:rsidP="00AC67A3">
      <w:pPr>
        <w:pStyle w:val="BodyText"/>
      </w:pPr>
      <w:r>
        <w:t>The Tasmanian contingency list includes contingencies that are part of the reclassification for the trip of any Tasmanian transmission lines and the Basslink interconnector when importing from Victoria. For further information on the reclassification please refer to SO_OP_3715 – Power System Security Guidelines.</w:t>
      </w:r>
    </w:p>
    <w:tbl>
      <w:tblPr>
        <w:tblStyle w:val="TableGrid"/>
        <w:tblW w:w="0" w:type="auto"/>
        <w:tblLook w:val="04A0" w:firstRow="1" w:lastRow="0" w:firstColumn="1" w:lastColumn="0" w:noHBand="0" w:noVBand="1"/>
      </w:tblPr>
      <w:tblGrid>
        <w:gridCol w:w="3397"/>
        <w:gridCol w:w="3261"/>
        <w:gridCol w:w="1972"/>
      </w:tblGrid>
      <w:tr w:rsidR="00AC67A3" w:rsidRPr="001E588C" w14:paraId="57D8F275" w14:textId="77777777" w:rsidTr="00E216B5">
        <w:tc>
          <w:tcPr>
            <w:tcW w:w="3397" w:type="dxa"/>
          </w:tcPr>
          <w:p w14:paraId="68424E2E" w14:textId="77777777" w:rsidR="00AC67A3" w:rsidRPr="001E588C" w:rsidRDefault="00AC67A3" w:rsidP="00E216B5">
            <w:pPr>
              <w:spacing w:after="0"/>
              <w:jc w:val="left"/>
              <w:rPr>
                <w:b/>
              </w:rPr>
            </w:pPr>
            <w:r w:rsidRPr="001E588C">
              <w:rPr>
                <w:b/>
              </w:rPr>
              <w:t>Contingency</w:t>
            </w:r>
          </w:p>
        </w:tc>
        <w:tc>
          <w:tcPr>
            <w:tcW w:w="3261" w:type="dxa"/>
          </w:tcPr>
          <w:p w14:paraId="52BE18BF" w14:textId="77777777" w:rsidR="00AC67A3" w:rsidRPr="001E588C" w:rsidRDefault="00AC67A3" w:rsidP="00E216B5">
            <w:pPr>
              <w:spacing w:after="0"/>
              <w:jc w:val="left"/>
              <w:rPr>
                <w:b/>
              </w:rPr>
            </w:pPr>
            <w:r>
              <w:rPr>
                <w:b/>
              </w:rPr>
              <w:t>R</w:t>
            </w:r>
            <w:r w:rsidRPr="00E722E2">
              <w:rPr>
                <w:b/>
              </w:rPr>
              <w:t>isk</w:t>
            </w:r>
          </w:p>
        </w:tc>
        <w:tc>
          <w:tcPr>
            <w:tcW w:w="1972" w:type="dxa"/>
          </w:tcPr>
          <w:p w14:paraId="61C82FA7" w14:textId="77777777" w:rsidR="00AC67A3" w:rsidRPr="001E588C" w:rsidRDefault="00AC67A3" w:rsidP="00E216B5">
            <w:pPr>
              <w:spacing w:after="0"/>
              <w:jc w:val="left"/>
              <w:rPr>
                <w:b/>
              </w:rPr>
            </w:pPr>
            <w:r w:rsidRPr="001E588C">
              <w:rPr>
                <w:b/>
              </w:rPr>
              <w:t>Capacity at risk (MW)</w:t>
            </w:r>
          </w:p>
        </w:tc>
      </w:tr>
      <w:tr w:rsidR="00AC67A3" w14:paraId="6543EDC7" w14:textId="77777777" w:rsidTr="00E216B5">
        <w:tc>
          <w:tcPr>
            <w:tcW w:w="3397" w:type="dxa"/>
          </w:tcPr>
          <w:p w14:paraId="38DA55B6" w14:textId="77777777" w:rsidR="00AC67A3" w:rsidRDefault="00AC67A3" w:rsidP="00E216B5">
            <w:pPr>
              <w:spacing w:after="0"/>
              <w:jc w:val="left"/>
            </w:pPr>
            <w:r>
              <w:t>Basslink Import +</w:t>
            </w:r>
          </w:p>
          <w:p w14:paraId="2B16ED7A" w14:textId="77777777" w:rsidR="00AC67A3" w:rsidRDefault="00AC67A3" w:rsidP="00E216B5">
            <w:pPr>
              <w:spacing w:after="0"/>
              <w:jc w:val="left"/>
            </w:pPr>
            <w:r>
              <w:t>Any Generating unit connected to the power system by a single transmission line</w:t>
            </w:r>
          </w:p>
        </w:tc>
        <w:tc>
          <w:tcPr>
            <w:tcW w:w="3261" w:type="dxa"/>
          </w:tcPr>
          <w:p w14:paraId="29A12A4D" w14:textId="77777777" w:rsidR="00AC67A3" w:rsidRDefault="00AC67A3" w:rsidP="00E216B5">
            <w:pPr>
              <w:spacing w:after="0"/>
              <w:jc w:val="left"/>
            </w:pPr>
            <w:r>
              <w:t>Basslink Import +</w:t>
            </w:r>
          </w:p>
          <w:p w14:paraId="26E0A2AB" w14:textId="77777777" w:rsidR="00AC67A3" w:rsidRDefault="00AC67A3" w:rsidP="00E216B5">
            <w:pPr>
              <w:spacing w:after="0"/>
              <w:jc w:val="left"/>
            </w:pPr>
            <w:r>
              <w:t>Any Generating unit connected to the power system by a single transmission line</w:t>
            </w:r>
          </w:p>
        </w:tc>
        <w:tc>
          <w:tcPr>
            <w:tcW w:w="1972" w:type="dxa"/>
          </w:tcPr>
          <w:p w14:paraId="12CD33AB" w14:textId="77777777" w:rsidR="00AC67A3" w:rsidRDefault="00AC67A3" w:rsidP="00E216B5">
            <w:pPr>
              <w:spacing w:after="0"/>
            </w:pPr>
            <w:r>
              <w:t>622*</w:t>
            </w:r>
          </w:p>
        </w:tc>
      </w:tr>
      <w:tr w:rsidR="00AC67A3" w14:paraId="322792F1" w14:textId="77777777" w:rsidTr="00E216B5">
        <w:tc>
          <w:tcPr>
            <w:tcW w:w="3397" w:type="dxa"/>
          </w:tcPr>
          <w:p w14:paraId="7A05D025" w14:textId="77777777" w:rsidR="00AC67A3" w:rsidRDefault="00AC67A3" w:rsidP="00E216B5">
            <w:pPr>
              <w:spacing w:after="0"/>
            </w:pPr>
            <w:r>
              <w:t>Basslink Import</w:t>
            </w:r>
          </w:p>
        </w:tc>
        <w:tc>
          <w:tcPr>
            <w:tcW w:w="3261" w:type="dxa"/>
          </w:tcPr>
          <w:p w14:paraId="4C0F0803" w14:textId="77777777" w:rsidR="00AC67A3" w:rsidRDefault="00AC67A3" w:rsidP="00E216B5">
            <w:pPr>
              <w:spacing w:after="0"/>
            </w:pPr>
            <w:r>
              <w:t>Basslink</w:t>
            </w:r>
          </w:p>
        </w:tc>
        <w:tc>
          <w:tcPr>
            <w:tcW w:w="1972" w:type="dxa"/>
          </w:tcPr>
          <w:p w14:paraId="77B33C92" w14:textId="77777777" w:rsidR="00AC67A3" w:rsidRDefault="00AC67A3" w:rsidP="00E216B5">
            <w:pPr>
              <w:spacing w:after="0"/>
            </w:pPr>
            <w:r>
              <w:t>478*</w:t>
            </w:r>
          </w:p>
        </w:tc>
      </w:tr>
    </w:tbl>
    <w:p w14:paraId="333D0297" w14:textId="77777777" w:rsidR="00AC67A3" w:rsidRPr="00E0329C" w:rsidRDefault="00AC67A3" w:rsidP="00AC67A3"/>
    <w:p w14:paraId="469928EE" w14:textId="31BE0816" w:rsidR="00AC67A3" w:rsidRDefault="00C0787F" w:rsidP="00AC67A3">
      <w:pPr>
        <w:pStyle w:val="Heading2"/>
      </w:pPr>
      <w:bookmarkStart w:id="16" w:name="_Toc501460987"/>
      <w:r>
        <w:t xml:space="preserve">Contingency </w:t>
      </w:r>
      <w:r w:rsidR="00AC67A3">
        <w:t>List 2</w:t>
      </w:r>
      <w:bookmarkEnd w:id="16"/>
    </w:p>
    <w:p w14:paraId="29FEAA2A" w14:textId="77777777" w:rsidR="00BA4F45" w:rsidRDefault="00BA4F45" w:rsidP="00AC67A3">
      <w:pPr>
        <w:pStyle w:val="ResetPara"/>
        <w:numPr>
          <w:ilvl w:val="0"/>
          <w:numId w:val="0"/>
        </w:numPr>
        <w:rPr>
          <w:lang w:eastAsia="en-AU"/>
        </w:rPr>
      </w:pPr>
    </w:p>
    <w:p w14:paraId="773D39F7" w14:textId="6A3C7A6E" w:rsidR="00F841C9" w:rsidRPr="00BA4F45" w:rsidRDefault="00BA4F45" w:rsidP="00AC67A3">
      <w:pPr>
        <w:pStyle w:val="Heading3"/>
        <w:rPr>
          <w:lang w:eastAsia="en-AU"/>
        </w:rPr>
      </w:pPr>
      <w:r>
        <w:rPr>
          <w:lang w:eastAsia="en-AU"/>
        </w:rPr>
        <w:t>G</w:t>
      </w:r>
      <w:r w:rsidR="0016241F">
        <w:rPr>
          <w:lang w:eastAsia="en-AU"/>
        </w:rPr>
        <w:t>enerator C</w:t>
      </w:r>
      <w:r>
        <w:rPr>
          <w:lang w:eastAsia="en-AU"/>
        </w:rPr>
        <w:t>ontingencies</w:t>
      </w:r>
    </w:p>
    <w:p w14:paraId="5ACD5E16" w14:textId="77777777" w:rsidR="006B6119" w:rsidRDefault="006B6119" w:rsidP="006B6119">
      <w:pPr>
        <w:pStyle w:val="ResetPara"/>
        <w:rPr>
          <w:lang w:eastAsia="en-AU"/>
        </w:rPr>
      </w:pPr>
    </w:p>
    <w:p w14:paraId="65AD44F5" w14:textId="41946CE2" w:rsidR="00BA4F45" w:rsidRDefault="004B236F" w:rsidP="00BA4F45">
      <w:pPr>
        <w:pStyle w:val="BodyText"/>
      </w:pPr>
      <w:r>
        <w:t xml:space="preserve">In all regions the </w:t>
      </w:r>
      <w:r w:rsidR="00E25C36">
        <w:t>following generation events are considered to be a credible contingency for LOR declaration:</w:t>
      </w:r>
    </w:p>
    <w:p w14:paraId="563BB0C1" w14:textId="2F5E0BA4" w:rsidR="00E25C36" w:rsidRDefault="00E25C36" w:rsidP="00E25C36">
      <w:pPr>
        <w:pStyle w:val="BodyText"/>
        <w:numPr>
          <w:ilvl w:val="0"/>
          <w:numId w:val="20"/>
        </w:numPr>
      </w:pPr>
      <w:r>
        <w:t xml:space="preserve">Loss of the largest single </w:t>
      </w:r>
      <w:r w:rsidRPr="00BB4940">
        <w:rPr>
          <w:i/>
        </w:rPr>
        <w:t>scheduled generating unit</w:t>
      </w:r>
      <w:r w:rsidR="000D13F4">
        <w:t xml:space="preserve">. Size is </w:t>
      </w:r>
      <w:r w:rsidR="00114C46">
        <w:t>as indicated by its</w:t>
      </w:r>
      <w:r w:rsidR="00E373BA">
        <w:t xml:space="preserve"> output </w:t>
      </w:r>
      <w:r w:rsidR="00BA5D5C">
        <w:t>calculated by the PASA solver for the specific trading interval under consideration.</w:t>
      </w:r>
    </w:p>
    <w:p w14:paraId="08F51B00" w14:textId="39BFEF29" w:rsidR="0017212A" w:rsidRDefault="00E25C36" w:rsidP="00E25C36">
      <w:pPr>
        <w:pStyle w:val="BodyText"/>
        <w:numPr>
          <w:ilvl w:val="0"/>
          <w:numId w:val="20"/>
        </w:numPr>
      </w:pPr>
      <w:r>
        <w:t xml:space="preserve">Loss of the largest wind or solar farm which is configured such that it would be fully disconnected by a single </w:t>
      </w:r>
      <w:r w:rsidR="000D13F4" w:rsidRPr="00BB4940">
        <w:rPr>
          <w:i/>
        </w:rPr>
        <w:t xml:space="preserve">credible </w:t>
      </w:r>
      <w:r w:rsidRPr="00BB4940">
        <w:rPr>
          <w:i/>
        </w:rPr>
        <w:t>contingency</w:t>
      </w:r>
      <w:r>
        <w:t>.</w:t>
      </w:r>
      <w:r w:rsidR="000D13F4">
        <w:t xml:space="preserve"> Size is as indicated by </w:t>
      </w:r>
      <w:r w:rsidR="0017212A">
        <w:t xml:space="preserve">its output calculated by the PASA solver for the specific trading interval under consideration based on the forecast output from AEMO’s intermittent generation forecasting systems. </w:t>
      </w:r>
    </w:p>
    <w:p w14:paraId="3FC95C7A" w14:textId="517F1B39" w:rsidR="00BA4F45" w:rsidRDefault="00BA4F45" w:rsidP="00AC67A3">
      <w:pPr>
        <w:pStyle w:val="Heading3"/>
        <w:rPr>
          <w:lang w:eastAsia="en-AU"/>
        </w:rPr>
      </w:pPr>
      <w:r>
        <w:rPr>
          <w:lang w:eastAsia="en-AU"/>
        </w:rPr>
        <w:lastRenderedPageBreak/>
        <w:t>Network Contingencies</w:t>
      </w:r>
    </w:p>
    <w:p w14:paraId="240598FB" w14:textId="3327562D" w:rsidR="00861CFF" w:rsidRDefault="000D13F4" w:rsidP="00861CFF">
      <w:pPr>
        <w:pStyle w:val="BodyText"/>
        <w:rPr>
          <w:lang w:eastAsia="en-AU"/>
        </w:rPr>
      </w:pPr>
      <w:r>
        <w:rPr>
          <w:lang w:eastAsia="en-AU"/>
        </w:rPr>
        <w:t xml:space="preserve">For capacities indicated below </w:t>
      </w:r>
      <w:r w:rsidR="00E34C54">
        <w:rPr>
          <w:lang w:eastAsia="en-AU"/>
        </w:rPr>
        <w:t xml:space="preserve">the </w:t>
      </w:r>
      <w:r w:rsidR="004F4C05">
        <w:rPr>
          <w:lang w:eastAsia="en-AU"/>
        </w:rPr>
        <w:t xml:space="preserve">capacity </w:t>
      </w:r>
      <w:r w:rsidR="00E34C54">
        <w:rPr>
          <w:lang w:eastAsia="en-AU"/>
        </w:rPr>
        <w:t>value</w:t>
      </w:r>
      <w:r w:rsidR="00EC675A">
        <w:rPr>
          <w:lang w:eastAsia="en-AU"/>
        </w:rPr>
        <w:t>s</w:t>
      </w:r>
      <w:r w:rsidR="00E34C54">
        <w:rPr>
          <w:lang w:eastAsia="en-AU"/>
        </w:rPr>
        <w:t xml:space="preserve"> will be calculated dynamically. T</w:t>
      </w:r>
      <w:r>
        <w:rPr>
          <w:lang w:eastAsia="en-AU"/>
        </w:rPr>
        <w:t xml:space="preserve">he maximum </w:t>
      </w:r>
      <w:r w:rsidR="00E34C54">
        <w:rPr>
          <w:lang w:eastAsia="en-AU"/>
        </w:rPr>
        <w:t xml:space="preserve">potential </w:t>
      </w:r>
      <w:r>
        <w:rPr>
          <w:lang w:eastAsia="en-AU"/>
        </w:rPr>
        <w:t>capacity is shown</w:t>
      </w:r>
      <w:r w:rsidR="00E34C54">
        <w:rPr>
          <w:lang w:eastAsia="en-AU"/>
        </w:rPr>
        <w:t xml:space="preserve"> in the tables</w:t>
      </w:r>
      <w:r w:rsidR="004F4C05">
        <w:rPr>
          <w:lang w:eastAsia="en-AU"/>
        </w:rPr>
        <w:t xml:space="preserve"> below</w:t>
      </w:r>
      <w:r>
        <w:rPr>
          <w:lang w:eastAsia="en-AU"/>
        </w:rPr>
        <w:t xml:space="preserve">. The dynamic </w:t>
      </w:r>
      <w:r w:rsidR="00E373BA">
        <w:rPr>
          <w:lang w:eastAsia="en-AU"/>
        </w:rPr>
        <w:t>quantities</w:t>
      </w:r>
      <w:r w:rsidR="00861CFF">
        <w:rPr>
          <w:lang w:eastAsia="en-AU"/>
        </w:rPr>
        <w:t xml:space="preserve"> for generator </w:t>
      </w:r>
      <w:r w:rsidR="004F4C05">
        <w:rPr>
          <w:lang w:eastAsia="en-AU"/>
        </w:rPr>
        <w:t xml:space="preserve">outputs </w:t>
      </w:r>
      <w:r w:rsidR="00861CFF">
        <w:rPr>
          <w:lang w:eastAsia="en-AU"/>
        </w:rPr>
        <w:t>and interconnector</w:t>
      </w:r>
      <w:r w:rsidR="004F4C05">
        <w:rPr>
          <w:lang w:eastAsia="en-AU"/>
        </w:rPr>
        <w:t xml:space="preserve"> flows</w:t>
      </w:r>
      <w:r w:rsidR="00861CFF">
        <w:rPr>
          <w:lang w:eastAsia="en-AU"/>
        </w:rPr>
        <w:t xml:space="preserve"> </w:t>
      </w:r>
      <w:r w:rsidR="004F4C05">
        <w:rPr>
          <w:lang w:eastAsia="en-AU"/>
        </w:rPr>
        <w:t xml:space="preserve">are </w:t>
      </w:r>
      <w:r w:rsidR="00861CFF">
        <w:rPr>
          <w:lang w:eastAsia="en-AU"/>
        </w:rPr>
        <w:t xml:space="preserve">calculated based on </w:t>
      </w:r>
      <w:r w:rsidR="00DE171F">
        <w:rPr>
          <w:lang w:eastAsia="en-AU"/>
        </w:rPr>
        <w:t xml:space="preserve">the capacity as dispatched </w:t>
      </w:r>
      <w:r w:rsidR="0017212A">
        <w:rPr>
          <w:lang w:eastAsia="en-AU"/>
        </w:rPr>
        <w:t>by the PASA solver for trading interval under consideration.</w:t>
      </w:r>
      <w:r w:rsidR="00DE171F">
        <w:rPr>
          <w:lang w:eastAsia="en-AU"/>
        </w:rPr>
        <w:t xml:space="preserve"> </w:t>
      </w:r>
    </w:p>
    <w:p w14:paraId="4BC18D60" w14:textId="7B0F8F8F" w:rsidR="00521B01" w:rsidRDefault="00521B01" w:rsidP="00AC67A3">
      <w:pPr>
        <w:pStyle w:val="Heading4"/>
      </w:pPr>
      <w:r>
        <w:t>New South Wales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119"/>
        <w:gridCol w:w="2114"/>
      </w:tblGrid>
      <w:tr w:rsidR="00521B01" w:rsidRPr="008F7F71" w14:paraId="2531C84E" w14:textId="77777777" w:rsidTr="00521B01">
        <w:tc>
          <w:tcPr>
            <w:tcW w:w="3397" w:type="dxa"/>
            <w:tcBorders>
              <w:top w:val="single" w:sz="4" w:space="0" w:color="auto"/>
              <w:left w:val="single" w:sz="4" w:space="0" w:color="auto"/>
              <w:bottom w:val="single" w:sz="4" w:space="0" w:color="auto"/>
              <w:right w:val="single" w:sz="4" w:space="0" w:color="auto"/>
            </w:tcBorders>
          </w:tcPr>
          <w:p w14:paraId="5B597EA1" w14:textId="77777777" w:rsidR="00521B01" w:rsidRPr="00E722E2" w:rsidRDefault="00521B01" w:rsidP="008B7589">
            <w:pPr>
              <w:spacing w:after="0"/>
              <w:jc w:val="left"/>
              <w:rPr>
                <w:b/>
              </w:rPr>
            </w:pPr>
            <w:r w:rsidRPr="00E722E2">
              <w:rPr>
                <w:b/>
              </w:rPr>
              <w:t>Contingency</w:t>
            </w:r>
          </w:p>
        </w:tc>
        <w:tc>
          <w:tcPr>
            <w:tcW w:w="3119" w:type="dxa"/>
            <w:tcBorders>
              <w:top w:val="single" w:sz="4" w:space="0" w:color="auto"/>
              <w:left w:val="single" w:sz="4" w:space="0" w:color="auto"/>
              <w:bottom w:val="single" w:sz="4" w:space="0" w:color="auto"/>
              <w:right w:val="single" w:sz="4" w:space="0" w:color="auto"/>
            </w:tcBorders>
          </w:tcPr>
          <w:p w14:paraId="135BCFC4" w14:textId="40D37D1B" w:rsidR="00521B01" w:rsidRPr="00E722E2" w:rsidRDefault="005D01A2" w:rsidP="008B7589">
            <w:pPr>
              <w:spacing w:after="0"/>
              <w:jc w:val="left"/>
              <w:rPr>
                <w:b/>
              </w:rPr>
            </w:pPr>
            <w:r>
              <w:rPr>
                <w:b/>
              </w:rPr>
              <w:t>R</w:t>
            </w:r>
            <w:r w:rsidRPr="00E722E2">
              <w:rPr>
                <w:b/>
              </w:rPr>
              <w:t>isk</w:t>
            </w:r>
          </w:p>
        </w:tc>
        <w:tc>
          <w:tcPr>
            <w:tcW w:w="2114" w:type="dxa"/>
            <w:tcBorders>
              <w:top w:val="single" w:sz="4" w:space="0" w:color="auto"/>
              <w:left w:val="single" w:sz="4" w:space="0" w:color="auto"/>
              <w:bottom w:val="single" w:sz="4" w:space="0" w:color="auto"/>
              <w:right w:val="single" w:sz="4" w:space="0" w:color="auto"/>
            </w:tcBorders>
          </w:tcPr>
          <w:p w14:paraId="443E4D8C" w14:textId="77777777" w:rsidR="00521B01" w:rsidRPr="00E722E2" w:rsidRDefault="00521B01" w:rsidP="008B7589">
            <w:pPr>
              <w:spacing w:after="0"/>
              <w:jc w:val="left"/>
              <w:rPr>
                <w:b/>
              </w:rPr>
            </w:pPr>
            <w:r w:rsidRPr="00E722E2">
              <w:rPr>
                <w:b/>
              </w:rPr>
              <w:t>Capacity at risk (MW)</w:t>
            </w:r>
          </w:p>
        </w:tc>
      </w:tr>
      <w:tr w:rsidR="00521B01" w14:paraId="0263C746" w14:textId="77777777" w:rsidTr="00521B01">
        <w:tc>
          <w:tcPr>
            <w:tcW w:w="3397" w:type="dxa"/>
          </w:tcPr>
          <w:p w14:paraId="01DE2704" w14:textId="4FDACF9A" w:rsidR="00521B01" w:rsidRDefault="00714B2A" w:rsidP="00AD7923">
            <w:pPr>
              <w:spacing w:after="0"/>
            </w:pPr>
            <w:r>
              <w:t>Colongra – Munmorah 330 kV C1 Line</w:t>
            </w:r>
          </w:p>
        </w:tc>
        <w:tc>
          <w:tcPr>
            <w:tcW w:w="3119" w:type="dxa"/>
          </w:tcPr>
          <w:p w14:paraId="428B6D4A" w14:textId="446A4B8C" w:rsidR="00521B01" w:rsidRDefault="00714B2A" w:rsidP="00714B2A">
            <w:pPr>
              <w:spacing w:after="0"/>
            </w:pPr>
            <w:r>
              <w:t xml:space="preserve">Colongra unit 1 + 2 </w:t>
            </w:r>
          </w:p>
        </w:tc>
        <w:tc>
          <w:tcPr>
            <w:tcW w:w="2114" w:type="dxa"/>
          </w:tcPr>
          <w:p w14:paraId="79EC897F" w14:textId="776E4868" w:rsidR="00521B01" w:rsidRDefault="00714B2A" w:rsidP="00AD7923">
            <w:pPr>
              <w:spacing w:after="0"/>
            </w:pPr>
            <w:r>
              <w:t>362</w:t>
            </w:r>
          </w:p>
        </w:tc>
      </w:tr>
      <w:tr w:rsidR="00714B2A" w14:paraId="254AE36D" w14:textId="77777777" w:rsidTr="00521B01">
        <w:tc>
          <w:tcPr>
            <w:tcW w:w="3397" w:type="dxa"/>
          </w:tcPr>
          <w:p w14:paraId="369CB47A" w14:textId="47149AED" w:rsidR="00714B2A" w:rsidRDefault="00714B2A" w:rsidP="00714B2A">
            <w:pPr>
              <w:spacing w:after="0"/>
            </w:pPr>
            <w:r>
              <w:t>Colongra – Munmorah 330 kV C3 Line</w:t>
            </w:r>
          </w:p>
        </w:tc>
        <w:tc>
          <w:tcPr>
            <w:tcW w:w="3119" w:type="dxa"/>
          </w:tcPr>
          <w:p w14:paraId="34C4827D" w14:textId="6F199B33" w:rsidR="00714B2A" w:rsidRDefault="00714B2A" w:rsidP="00714B2A">
            <w:pPr>
              <w:spacing w:after="0"/>
            </w:pPr>
            <w:r>
              <w:t>Colongra unit 3 + 4</w:t>
            </w:r>
          </w:p>
        </w:tc>
        <w:tc>
          <w:tcPr>
            <w:tcW w:w="2114" w:type="dxa"/>
          </w:tcPr>
          <w:p w14:paraId="71CECAE7" w14:textId="093C3649" w:rsidR="00714B2A" w:rsidRDefault="00714B2A" w:rsidP="00714B2A">
            <w:pPr>
              <w:spacing w:after="0"/>
            </w:pPr>
            <w:r>
              <w:t>362</w:t>
            </w:r>
          </w:p>
        </w:tc>
      </w:tr>
      <w:tr w:rsidR="00DE171F" w14:paraId="0AE3A27C" w14:textId="77777777" w:rsidTr="00521B01">
        <w:tc>
          <w:tcPr>
            <w:tcW w:w="3397" w:type="dxa"/>
          </w:tcPr>
          <w:p w14:paraId="304E0DD0" w14:textId="3185F731" w:rsidR="00DE171F" w:rsidRDefault="0036320A" w:rsidP="00641B71">
            <w:pPr>
              <w:spacing w:after="0"/>
            </w:pPr>
            <w:r>
              <w:t>Either Dumaresq – Bulli Creek 330 kV</w:t>
            </w:r>
            <w:r w:rsidR="00641B71">
              <w:t xml:space="preserve"> (8L or 8M)</w:t>
            </w:r>
            <w:r>
              <w:t xml:space="preserve"> Lines</w:t>
            </w:r>
            <w:r w:rsidR="004F4C05">
              <w:t xml:space="preserve"> </w:t>
            </w:r>
          </w:p>
        </w:tc>
        <w:tc>
          <w:tcPr>
            <w:tcW w:w="3119" w:type="dxa"/>
          </w:tcPr>
          <w:p w14:paraId="3D74A06E" w14:textId="1346B976" w:rsidR="00DE171F" w:rsidRDefault="0036320A" w:rsidP="007077A4">
            <w:pPr>
              <w:spacing w:after="0"/>
              <w:jc w:val="left"/>
            </w:pPr>
            <w:r>
              <w:t>Th</w:t>
            </w:r>
            <w:r w:rsidR="007077A4">
              <w:t>e</w:t>
            </w:r>
            <w:r>
              <w:t xml:space="preserve"> double circuit line forms the Queensland – New South Wales Interconnector (QNI).</w:t>
            </w:r>
            <w:r w:rsidRPr="008714B3">
              <w:t xml:space="preserve"> On the loss of one circuit, </w:t>
            </w:r>
            <w:r w:rsidR="007077A4">
              <w:t xml:space="preserve">flow from </w:t>
            </w:r>
            <w:r w:rsidR="007077A4" w:rsidRPr="008B7589">
              <w:t>QLD to NSW</w:t>
            </w:r>
            <w:r w:rsidRPr="008B7589">
              <w:t xml:space="preserve"> will be limited to </w:t>
            </w:r>
            <w:r w:rsidR="007077A4" w:rsidRPr="008B7589">
              <w:t>250</w:t>
            </w:r>
            <w:r w:rsidRPr="008B7589">
              <w:t xml:space="preserve"> MW</w:t>
            </w:r>
            <w:r w:rsidR="0017212A">
              <w:t>.</w:t>
            </w:r>
            <w:r>
              <w:t xml:space="preserve"> Therefore,</w:t>
            </w:r>
            <w:r w:rsidRPr="008714B3">
              <w:t xml:space="preserve"> the</w:t>
            </w:r>
            <w:r>
              <w:t xml:space="preserve"> normal capacity at </w:t>
            </w:r>
            <w:r w:rsidR="00E373BA">
              <w:t xml:space="preserve">risk </w:t>
            </w:r>
            <w:r w:rsidR="00E373BA" w:rsidRPr="008714B3">
              <w:t>associated</w:t>
            </w:r>
            <w:r w:rsidRPr="008714B3">
              <w:t xml:space="preserve"> with the loss of an element of </w:t>
            </w:r>
            <w:r>
              <w:t>QNI</w:t>
            </w:r>
            <w:r w:rsidRPr="008714B3">
              <w:t xml:space="preserve"> is </w:t>
            </w:r>
            <w:r w:rsidR="007077A4" w:rsidRPr="008B7589">
              <w:t>828</w:t>
            </w:r>
            <w:r w:rsidRPr="008B7589">
              <w:t xml:space="preserve"> MW</w:t>
            </w:r>
            <w:r w:rsidRPr="008714B3">
              <w:t>.</w:t>
            </w:r>
            <w:r>
              <w:t xml:space="preserve"> The capacity at risk for the loss of both elements would normally be </w:t>
            </w:r>
            <w:r w:rsidR="007077A4">
              <w:t>1078</w:t>
            </w:r>
            <w:r>
              <w:t xml:space="preserve"> MW.</w:t>
            </w:r>
          </w:p>
        </w:tc>
        <w:tc>
          <w:tcPr>
            <w:tcW w:w="2114" w:type="dxa"/>
          </w:tcPr>
          <w:p w14:paraId="3E3B7AD2" w14:textId="3351F257" w:rsidR="00DE171F" w:rsidRDefault="00A94A67" w:rsidP="00714B2A">
            <w:pPr>
              <w:spacing w:after="0"/>
            </w:pPr>
            <w:r>
              <w:t>828</w:t>
            </w:r>
          </w:p>
        </w:tc>
      </w:tr>
    </w:tbl>
    <w:p w14:paraId="48E07EE7" w14:textId="77777777" w:rsidR="00521B01" w:rsidRDefault="00521B01" w:rsidP="00521B01"/>
    <w:p w14:paraId="25F7D1CE" w14:textId="77777777" w:rsidR="00521B01" w:rsidRDefault="00521B01" w:rsidP="00AC67A3">
      <w:pPr>
        <w:pStyle w:val="Heading4"/>
      </w:pPr>
      <w:r>
        <w:t>Queensland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977"/>
        <w:gridCol w:w="2114"/>
      </w:tblGrid>
      <w:tr w:rsidR="00521B01" w:rsidRPr="008F7F71" w14:paraId="4117F731" w14:textId="77777777" w:rsidTr="00521B01">
        <w:trPr>
          <w:tblHeader/>
        </w:trPr>
        <w:tc>
          <w:tcPr>
            <w:tcW w:w="3539" w:type="dxa"/>
          </w:tcPr>
          <w:p w14:paraId="2F387F9D" w14:textId="77777777" w:rsidR="00521B01" w:rsidRPr="008F7F71" w:rsidRDefault="00521B01" w:rsidP="008B7589">
            <w:pPr>
              <w:spacing w:after="0"/>
              <w:jc w:val="left"/>
              <w:rPr>
                <w:b/>
              </w:rPr>
            </w:pPr>
            <w:r w:rsidRPr="008F7F71">
              <w:rPr>
                <w:b/>
              </w:rPr>
              <w:t>Contingency</w:t>
            </w:r>
          </w:p>
        </w:tc>
        <w:tc>
          <w:tcPr>
            <w:tcW w:w="2977" w:type="dxa"/>
          </w:tcPr>
          <w:p w14:paraId="25847CB8" w14:textId="2957CF78" w:rsidR="00521B01" w:rsidRPr="008F7F71" w:rsidRDefault="005D01A2" w:rsidP="008B7589">
            <w:pPr>
              <w:spacing w:after="0"/>
              <w:jc w:val="left"/>
              <w:rPr>
                <w:b/>
              </w:rPr>
            </w:pPr>
            <w:r>
              <w:rPr>
                <w:b/>
              </w:rPr>
              <w:t>R</w:t>
            </w:r>
            <w:r w:rsidRPr="00E722E2">
              <w:rPr>
                <w:b/>
              </w:rPr>
              <w:t>isk</w:t>
            </w:r>
          </w:p>
        </w:tc>
        <w:tc>
          <w:tcPr>
            <w:tcW w:w="2114" w:type="dxa"/>
          </w:tcPr>
          <w:p w14:paraId="66B17665" w14:textId="081B2A26" w:rsidR="00521B01" w:rsidRPr="008F7F71" w:rsidRDefault="00521B01" w:rsidP="008B7589">
            <w:pPr>
              <w:spacing w:after="0"/>
              <w:jc w:val="left"/>
              <w:rPr>
                <w:b/>
              </w:rPr>
            </w:pPr>
            <w:r w:rsidRPr="008F7F71">
              <w:rPr>
                <w:b/>
              </w:rPr>
              <w:t>Capacity at risk</w:t>
            </w:r>
            <w:r>
              <w:rPr>
                <w:b/>
              </w:rPr>
              <w:t xml:space="preserve"> (MW)</w:t>
            </w:r>
          </w:p>
        </w:tc>
      </w:tr>
      <w:tr w:rsidR="00521B01" w14:paraId="58661244" w14:textId="77777777" w:rsidTr="00521B01">
        <w:tc>
          <w:tcPr>
            <w:tcW w:w="3539" w:type="dxa"/>
          </w:tcPr>
          <w:p w14:paraId="4F72E393" w14:textId="77777777" w:rsidR="00521B01" w:rsidRDefault="00521B01" w:rsidP="00AD7923">
            <w:pPr>
              <w:spacing w:after="0"/>
            </w:pPr>
            <w:r>
              <w:t>Braemar – Darling Downs 275 kV 8862 line</w:t>
            </w:r>
          </w:p>
        </w:tc>
        <w:tc>
          <w:tcPr>
            <w:tcW w:w="2977" w:type="dxa"/>
          </w:tcPr>
          <w:p w14:paraId="059150E7" w14:textId="77777777" w:rsidR="00521B01" w:rsidRDefault="00521B01" w:rsidP="00AD7923">
            <w:pPr>
              <w:spacing w:after="0"/>
            </w:pPr>
            <w:r>
              <w:t>Darling Downs unit 2+3</w:t>
            </w:r>
          </w:p>
        </w:tc>
        <w:tc>
          <w:tcPr>
            <w:tcW w:w="2114" w:type="dxa"/>
          </w:tcPr>
          <w:p w14:paraId="32D960DF" w14:textId="386179BF" w:rsidR="00521B01" w:rsidRDefault="00521B01" w:rsidP="00AD7923">
            <w:pPr>
              <w:spacing w:after="0"/>
            </w:pPr>
            <w:r>
              <w:t>256</w:t>
            </w:r>
          </w:p>
        </w:tc>
      </w:tr>
      <w:tr w:rsidR="00F841C9" w14:paraId="65F930E5" w14:textId="77777777" w:rsidTr="00521B01">
        <w:tc>
          <w:tcPr>
            <w:tcW w:w="3539" w:type="dxa"/>
          </w:tcPr>
          <w:p w14:paraId="3664E0EE" w14:textId="23D59E08" w:rsidR="00F841C9" w:rsidRDefault="00F841C9" w:rsidP="00AD7923">
            <w:pPr>
              <w:spacing w:after="0"/>
            </w:pPr>
            <w:r>
              <w:t>Braemar 2 PS – Braemar 275kV 8840 line</w:t>
            </w:r>
          </w:p>
        </w:tc>
        <w:tc>
          <w:tcPr>
            <w:tcW w:w="2977" w:type="dxa"/>
          </w:tcPr>
          <w:p w14:paraId="5715C880" w14:textId="654CA675" w:rsidR="00F841C9" w:rsidRDefault="00F841C9" w:rsidP="00AD7923">
            <w:pPr>
              <w:spacing w:after="0"/>
              <w:rPr>
                <w:rStyle w:val="CommentReference"/>
              </w:rPr>
            </w:pPr>
            <w:r>
              <w:t>Braemar Unit 5 + 6</w:t>
            </w:r>
          </w:p>
        </w:tc>
        <w:tc>
          <w:tcPr>
            <w:tcW w:w="2114" w:type="dxa"/>
          </w:tcPr>
          <w:p w14:paraId="79B9BF9F" w14:textId="739057D3" w:rsidR="00F841C9" w:rsidRDefault="00F841C9" w:rsidP="00AD7923">
            <w:pPr>
              <w:spacing w:after="0"/>
            </w:pPr>
            <w:r>
              <w:t>346</w:t>
            </w:r>
          </w:p>
        </w:tc>
      </w:tr>
      <w:tr w:rsidR="00F841C9" w14:paraId="3BC06D7D" w14:textId="77777777" w:rsidTr="00521B01">
        <w:tc>
          <w:tcPr>
            <w:tcW w:w="3539" w:type="dxa"/>
          </w:tcPr>
          <w:p w14:paraId="0139BEFE" w14:textId="7633B2B2" w:rsidR="00F841C9" w:rsidRDefault="00F841C9" w:rsidP="00AD7923">
            <w:pPr>
              <w:spacing w:after="0"/>
            </w:pPr>
            <w:r>
              <w:t>Braemar PS -  Braemar 275kV 8839</w:t>
            </w:r>
            <w:r w:rsidR="00641B71">
              <w:t xml:space="preserve"> line</w:t>
            </w:r>
          </w:p>
        </w:tc>
        <w:tc>
          <w:tcPr>
            <w:tcW w:w="2977" w:type="dxa"/>
          </w:tcPr>
          <w:p w14:paraId="1F60CFAC" w14:textId="08E6F168" w:rsidR="00F841C9" w:rsidRDefault="005D01A2" w:rsidP="00AD7923">
            <w:pPr>
              <w:spacing w:after="0"/>
              <w:rPr>
                <w:rStyle w:val="CommentReference"/>
              </w:rPr>
            </w:pPr>
            <w:r>
              <w:t xml:space="preserve">Braemar </w:t>
            </w:r>
            <w:r w:rsidR="00F841C9">
              <w:t>Unit 2 + 3</w:t>
            </w:r>
          </w:p>
        </w:tc>
        <w:tc>
          <w:tcPr>
            <w:tcW w:w="2114" w:type="dxa"/>
          </w:tcPr>
          <w:p w14:paraId="600BB234" w14:textId="33ECB22C" w:rsidR="00F841C9" w:rsidRDefault="00F841C9" w:rsidP="00AD7923">
            <w:pPr>
              <w:spacing w:after="0"/>
            </w:pPr>
            <w:r>
              <w:t>336</w:t>
            </w:r>
          </w:p>
        </w:tc>
      </w:tr>
      <w:tr w:rsidR="007077A4" w14:paraId="24E4E25E" w14:textId="77777777" w:rsidTr="00521B01">
        <w:tc>
          <w:tcPr>
            <w:tcW w:w="3539" w:type="dxa"/>
          </w:tcPr>
          <w:p w14:paraId="300EA354" w14:textId="352AAAD9" w:rsidR="007077A4" w:rsidRDefault="007077A4" w:rsidP="00641B71">
            <w:pPr>
              <w:spacing w:after="0"/>
            </w:pPr>
            <w:r>
              <w:t xml:space="preserve">Either Dumaresq – Bulli Creek 330 kV </w:t>
            </w:r>
            <w:r w:rsidR="00641B71">
              <w:t xml:space="preserve">(8L or 8M) </w:t>
            </w:r>
            <w:r>
              <w:t>Lines</w:t>
            </w:r>
            <w:r w:rsidR="00641B71">
              <w:t xml:space="preserve"> </w:t>
            </w:r>
          </w:p>
        </w:tc>
        <w:tc>
          <w:tcPr>
            <w:tcW w:w="2977" w:type="dxa"/>
          </w:tcPr>
          <w:p w14:paraId="3C9C9AFE" w14:textId="52C04591" w:rsidR="007077A4" w:rsidRDefault="007077A4" w:rsidP="007077A4">
            <w:pPr>
              <w:spacing w:after="0"/>
              <w:jc w:val="left"/>
            </w:pPr>
            <w:r>
              <w:t>The double circuit line forms the Queensland – New South Wales Interconnector (QNI).</w:t>
            </w:r>
            <w:r w:rsidRPr="008714B3">
              <w:t xml:space="preserve"> On the loss of one circuit, </w:t>
            </w:r>
            <w:r>
              <w:t>flow from NSW to QLD</w:t>
            </w:r>
            <w:r w:rsidRPr="008714B3">
              <w:t xml:space="preserve"> </w:t>
            </w:r>
            <w:r>
              <w:t xml:space="preserve">will be </w:t>
            </w:r>
            <w:r w:rsidRPr="008B7589">
              <w:t xml:space="preserve">limited to </w:t>
            </w:r>
            <w:r w:rsidRPr="00A94A67">
              <w:t>50</w:t>
            </w:r>
            <w:r w:rsidRPr="008B7589">
              <w:rPr>
                <w:b/>
              </w:rPr>
              <w:t xml:space="preserve"> </w:t>
            </w:r>
            <w:r w:rsidRPr="008B7589">
              <w:t xml:space="preserve">MW. Therefore, the normal capacity at </w:t>
            </w:r>
            <w:r w:rsidR="00E373BA" w:rsidRPr="008B7589">
              <w:t>risk associated</w:t>
            </w:r>
            <w:r w:rsidRPr="008B7589">
              <w:t xml:space="preserve"> with the loss of an element of QNI is </w:t>
            </w:r>
            <w:r w:rsidRPr="00A94A67">
              <w:t>550</w:t>
            </w:r>
            <w:r w:rsidRPr="008B7589">
              <w:t xml:space="preserve"> MW. The capacity at risk for the loss of both elements would normally be 600 MW.</w:t>
            </w:r>
          </w:p>
        </w:tc>
        <w:tc>
          <w:tcPr>
            <w:tcW w:w="2114" w:type="dxa"/>
          </w:tcPr>
          <w:p w14:paraId="5EF2D511" w14:textId="75594171" w:rsidR="007077A4" w:rsidRDefault="00A94A67" w:rsidP="00AD7923">
            <w:pPr>
              <w:spacing w:after="0"/>
            </w:pPr>
            <w:r>
              <w:t>550</w:t>
            </w:r>
          </w:p>
        </w:tc>
      </w:tr>
    </w:tbl>
    <w:p w14:paraId="12B90FE3" w14:textId="77777777" w:rsidR="00521B01" w:rsidRDefault="00521B01" w:rsidP="00AC67A3">
      <w:pPr>
        <w:pStyle w:val="Heading4"/>
      </w:pPr>
      <w:r>
        <w:lastRenderedPageBreak/>
        <w:t>South Australia</w:t>
      </w:r>
    </w:p>
    <w:tbl>
      <w:tblPr>
        <w:tblStyle w:val="TableGrid"/>
        <w:tblW w:w="8748" w:type="dxa"/>
        <w:tblInd w:w="-5" w:type="dxa"/>
        <w:tblLook w:val="04A0" w:firstRow="1" w:lastRow="0" w:firstColumn="1" w:lastColumn="0" w:noHBand="0" w:noVBand="1"/>
      </w:tblPr>
      <w:tblGrid>
        <w:gridCol w:w="3402"/>
        <w:gridCol w:w="3119"/>
        <w:gridCol w:w="2227"/>
      </w:tblGrid>
      <w:tr w:rsidR="00521B01" w:rsidRPr="002A6422" w14:paraId="46EB2911" w14:textId="77777777" w:rsidTr="00521B01">
        <w:tc>
          <w:tcPr>
            <w:tcW w:w="3402" w:type="dxa"/>
          </w:tcPr>
          <w:p w14:paraId="60A3440A" w14:textId="77777777" w:rsidR="00521B01" w:rsidRPr="002A6422" w:rsidRDefault="00521B01" w:rsidP="00AD7923">
            <w:pPr>
              <w:spacing w:after="0"/>
              <w:rPr>
                <w:b/>
              </w:rPr>
            </w:pPr>
            <w:r w:rsidRPr="002A6422">
              <w:rPr>
                <w:b/>
              </w:rPr>
              <w:t>Contingency</w:t>
            </w:r>
          </w:p>
        </w:tc>
        <w:tc>
          <w:tcPr>
            <w:tcW w:w="3119" w:type="dxa"/>
          </w:tcPr>
          <w:p w14:paraId="727625E5" w14:textId="40E750D6" w:rsidR="00521B01" w:rsidRPr="002A6422" w:rsidRDefault="005D01A2" w:rsidP="00AD7923">
            <w:pPr>
              <w:spacing w:after="0"/>
              <w:rPr>
                <w:b/>
              </w:rPr>
            </w:pPr>
            <w:r>
              <w:rPr>
                <w:b/>
              </w:rPr>
              <w:t>R</w:t>
            </w:r>
            <w:r w:rsidR="00EE1633" w:rsidRPr="00E722E2">
              <w:rPr>
                <w:b/>
              </w:rPr>
              <w:t>isk</w:t>
            </w:r>
          </w:p>
        </w:tc>
        <w:tc>
          <w:tcPr>
            <w:tcW w:w="2227" w:type="dxa"/>
          </w:tcPr>
          <w:p w14:paraId="3998C278" w14:textId="77777777" w:rsidR="00521B01" w:rsidRPr="002A6422" w:rsidRDefault="00521B01" w:rsidP="00AD7923">
            <w:pPr>
              <w:spacing w:after="0"/>
              <w:rPr>
                <w:b/>
              </w:rPr>
            </w:pPr>
            <w:r w:rsidRPr="002A6422">
              <w:rPr>
                <w:b/>
              </w:rPr>
              <w:t>Capacity at risk</w:t>
            </w:r>
          </w:p>
          <w:p w14:paraId="34694E3C" w14:textId="77777777" w:rsidR="00521B01" w:rsidRPr="002A6422" w:rsidRDefault="00521B01" w:rsidP="00AD7923">
            <w:pPr>
              <w:spacing w:after="0"/>
              <w:rPr>
                <w:b/>
              </w:rPr>
            </w:pPr>
            <w:r w:rsidRPr="002A6422">
              <w:rPr>
                <w:b/>
              </w:rPr>
              <w:t>(MW)</w:t>
            </w:r>
          </w:p>
        </w:tc>
      </w:tr>
      <w:tr w:rsidR="00521B01" w14:paraId="5F3DD443" w14:textId="77777777" w:rsidTr="00521B01">
        <w:tc>
          <w:tcPr>
            <w:tcW w:w="3402" w:type="dxa"/>
          </w:tcPr>
          <w:p w14:paraId="46933FC7" w14:textId="516FD308" w:rsidR="00521B01" w:rsidRDefault="00521B01" w:rsidP="00D65556">
            <w:pPr>
              <w:spacing w:after="0"/>
            </w:pPr>
            <w:r>
              <w:t>Blyth West – Snow</w:t>
            </w:r>
            <w:r w:rsidR="00D65556">
              <w:t>t</w:t>
            </w:r>
            <w:r>
              <w:t>own 275 kV</w:t>
            </w:r>
            <w:r w:rsidR="00641B71">
              <w:t xml:space="preserve"> line</w:t>
            </w:r>
          </w:p>
        </w:tc>
        <w:tc>
          <w:tcPr>
            <w:tcW w:w="3119" w:type="dxa"/>
          </w:tcPr>
          <w:p w14:paraId="1A027D87" w14:textId="7185AE75" w:rsidR="00521B01" w:rsidRDefault="00521B01" w:rsidP="0009687F">
            <w:pPr>
              <w:spacing w:after="0"/>
            </w:pPr>
            <w:r>
              <w:t>Snowtown South</w:t>
            </w:r>
            <w:r w:rsidR="0009687F">
              <w:t xml:space="preserve"> </w:t>
            </w:r>
            <w:r>
              <w:t>+ North wind farm</w:t>
            </w:r>
            <w:r w:rsidR="0009687F">
              <w:t>s</w:t>
            </w:r>
          </w:p>
        </w:tc>
        <w:tc>
          <w:tcPr>
            <w:tcW w:w="2227" w:type="dxa"/>
          </w:tcPr>
          <w:p w14:paraId="6C965B6A" w14:textId="3082BF28" w:rsidR="00521B01" w:rsidRDefault="00521B01" w:rsidP="000D13F4">
            <w:pPr>
              <w:spacing w:after="0"/>
            </w:pPr>
            <w:r>
              <w:t>270</w:t>
            </w:r>
          </w:p>
        </w:tc>
      </w:tr>
      <w:tr w:rsidR="00521B01" w14:paraId="4994DEC0" w14:textId="77777777" w:rsidTr="00521B01">
        <w:tc>
          <w:tcPr>
            <w:tcW w:w="3402" w:type="dxa"/>
          </w:tcPr>
          <w:p w14:paraId="6204F7C3" w14:textId="77777777" w:rsidR="00521B01" w:rsidRDefault="00521B01" w:rsidP="00AD7923">
            <w:pPr>
              <w:spacing w:after="0"/>
            </w:pPr>
            <w:r>
              <w:t>Murraylink</w:t>
            </w:r>
          </w:p>
        </w:tc>
        <w:tc>
          <w:tcPr>
            <w:tcW w:w="3119" w:type="dxa"/>
          </w:tcPr>
          <w:p w14:paraId="73A1E37B" w14:textId="22EC36BA" w:rsidR="00521B01" w:rsidRDefault="00521B01" w:rsidP="0009687F">
            <w:pPr>
              <w:spacing w:after="0"/>
            </w:pPr>
            <w:r>
              <w:t>Murraylink</w:t>
            </w:r>
          </w:p>
        </w:tc>
        <w:tc>
          <w:tcPr>
            <w:tcW w:w="2227" w:type="dxa"/>
          </w:tcPr>
          <w:p w14:paraId="24A0D840" w14:textId="51D86744" w:rsidR="00521B01" w:rsidRDefault="00521B01" w:rsidP="00AD7923">
            <w:pPr>
              <w:spacing w:after="0"/>
            </w:pPr>
            <w:r>
              <w:t>220</w:t>
            </w:r>
          </w:p>
        </w:tc>
      </w:tr>
      <w:tr w:rsidR="00521B01" w14:paraId="032FDBF9" w14:textId="77777777" w:rsidTr="00521B01">
        <w:tc>
          <w:tcPr>
            <w:tcW w:w="3402" w:type="dxa"/>
          </w:tcPr>
          <w:p w14:paraId="6F323ADF" w14:textId="49FFA941" w:rsidR="00521B01" w:rsidRDefault="00521B01" w:rsidP="00AD7923">
            <w:pPr>
              <w:spacing w:after="0"/>
            </w:pPr>
            <w:r>
              <w:t>Canowi – Hallet</w:t>
            </w:r>
            <w:r w:rsidR="00D65556">
              <w:t>t</w:t>
            </w:r>
            <w:r>
              <w:t xml:space="preserve"> 275 kV</w:t>
            </w:r>
            <w:r w:rsidR="00641B71">
              <w:t xml:space="preserve"> line</w:t>
            </w:r>
          </w:p>
        </w:tc>
        <w:tc>
          <w:tcPr>
            <w:tcW w:w="3119" w:type="dxa"/>
          </w:tcPr>
          <w:p w14:paraId="75097605" w14:textId="177FD762" w:rsidR="00521B01" w:rsidRDefault="00521B01" w:rsidP="00AD7923">
            <w:pPr>
              <w:spacing w:after="0"/>
            </w:pPr>
            <w:r>
              <w:t>Hallet</w:t>
            </w:r>
            <w:r w:rsidR="00D65556">
              <w:t>t</w:t>
            </w:r>
            <w:r>
              <w:t xml:space="preserve"> wind farm+ H</w:t>
            </w:r>
            <w:r w:rsidR="00EE1633">
              <w:t>allet</w:t>
            </w:r>
            <w:r w:rsidR="00E373BA">
              <w:t>t</w:t>
            </w:r>
            <w:r w:rsidR="00EE1633">
              <w:t xml:space="preserve"> GTs</w:t>
            </w:r>
          </w:p>
          <w:p w14:paraId="07018525" w14:textId="77777777" w:rsidR="00521B01" w:rsidRDefault="00521B01" w:rsidP="00AD7923">
            <w:pPr>
              <w:spacing w:after="0"/>
            </w:pPr>
          </w:p>
        </w:tc>
        <w:tc>
          <w:tcPr>
            <w:tcW w:w="2227" w:type="dxa"/>
          </w:tcPr>
          <w:p w14:paraId="605DA27F" w14:textId="1E767BC2" w:rsidR="00521B01" w:rsidRDefault="00EE1633" w:rsidP="00AD7923">
            <w:pPr>
              <w:spacing w:after="0"/>
            </w:pPr>
            <w:r>
              <w:t>315</w:t>
            </w:r>
          </w:p>
        </w:tc>
      </w:tr>
      <w:tr w:rsidR="00521B01" w14:paraId="6CE80EA8" w14:textId="77777777" w:rsidTr="00521B01">
        <w:tc>
          <w:tcPr>
            <w:tcW w:w="3402" w:type="dxa"/>
          </w:tcPr>
          <w:p w14:paraId="5E16A045" w14:textId="700D0A29" w:rsidR="00521B01" w:rsidRDefault="00D65556" w:rsidP="00AD7923">
            <w:pPr>
              <w:spacing w:after="0"/>
            </w:pPr>
            <w:r>
              <w:t>S</w:t>
            </w:r>
            <w:r w:rsidR="00521B01">
              <w:t>nug</w:t>
            </w:r>
            <w:r w:rsidR="003C7E63">
              <w:t>g</w:t>
            </w:r>
            <w:r>
              <w:t>er</w:t>
            </w:r>
            <w:r w:rsidR="00521B01">
              <w:t>y – Mayura 132 kV</w:t>
            </w:r>
            <w:r w:rsidR="00641B71">
              <w:t xml:space="preserve"> line</w:t>
            </w:r>
          </w:p>
        </w:tc>
        <w:tc>
          <w:tcPr>
            <w:tcW w:w="3119" w:type="dxa"/>
          </w:tcPr>
          <w:p w14:paraId="250F557B" w14:textId="77777777" w:rsidR="00521B01" w:rsidRDefault="00521B01" w:rsidP="00AD7923">
            <w:pPr>
              <w:spacing w:after="0"/>
            </w:pPr>
            <w:r>
              <w:t>Lake Bonney 1+2+3 wind farms</w:t>
            </w:r>
          </w:p>
        </w:tc>
        <w:tc>
          <w:tcPr>
            <w:tcW w:w="2227" w:type="dxa"/>
          </w:tcPr>
          <w:p w14:paraId="584F1511" w14:textId="42767AF2" w:rsidR="00521B01" w:rsidRDefault="00521B01" w:rsidP="00AD7923">
            <w:pPr>
              <w:spacing w:after="0"/>
            </w:pPr>
            <w:r>
              <w:t>279</w:t>
            </w:r>
          </w:p>
        </w:tc>
      </w:tr>
      <w:tr w:rsidR="00521B01" w14:paraId="534A1D51" w14:textId="77777777" w:rsidTr="00521B01">
        <w:tc>
          <w:tcPr>
            <w:tcW w:w="3402" w:type="dxa"/>
          </w:tcPr>
          <w:p w14:paraId="36C80C2A" w14:textId="3F4BC825" w:rsidR="00521B01" w:rsidRDefault="00521B01" w:rsidP="00AD7923">
            <w:pPr>
              <w:spacing w:after="0"/>
            </w:pPr>
            <w:r>
              <w:t>Yadnarie – Port Lincoln 132 kV</w:t>
            </w:r>
            <w:r w:rsidR="00641B71">
              <w:t xml:space="preserve"> line</w:t>
            </w:r>
          </w:p>
        </w:tc>
        <w:tc>
          <w:tcPr>
            <w:tcW w:w="3119" w:type="dxa"/>
          </w:tcPr>
          <w:p w14:paraId="33878764" w14:textId="7F16E192" w:rsidR="00521B01" w:rsidRDefault="00521B01" w:rsidP="0009687F">
            <w:pPr>
              <w:spacing w:after="0"/>
            </w:pPr>
            <w:r>
              <w:t>Port Lincoln GTs</w:t>
            </w:r>
            <w:r w:rsidR="0009687F">
              <w:t xml:space="preserve"> </w:t>
            </w:r>
            <w:r>
              <w:t>+ Cathedral rocks wind farm</w:t>
            </w:r>
          </w:p>
        </w:tc>
        <w:tc>
          <w:tcPr>
            <w:tcW w:w="2227" w:type="dxa"/>
          </w:tcPr>
          <w:p w14:paraId="7161E2E3" w14:textId="2BD89FBE" w:rsidR="00521B01" w:rsidRDefault="00521B01" w:rsidP="00AD7923">
            <w:pPr>
              <w:spacing w:after="0"/>
            </w:pPr>
            <w:r>
              <w:t>147</w:t>
            </w:r>
          </w:p>
        </w:tc>
      </w:tr>
      <w:tr w:rsidR="00521B01" w14:paraId="310B50F1" w14:textId="77777777" w:rsidTr="00521B01">
        <w:tc>
          <w:tcPr>
            <w:tcW w:w="3402" w:type="dxa"/>
          </w:tcPr>
          <w:p w14:paraId="5D539A32" w14:textId="77777777" w:rsidR="00521B01" w:rsidRDefault="00521B01" w:rsidP="00AD7923">
            <w:pPr>
              <w:spacing w:after="0"/>
            </w:pPr>
            <w:r w:rsidRPr="002E29FE">
              <w:t>TIPS – Torrens Island North No. 2 66 kV line</w:t>
            </w:r>
          </w:p>
        </w:tc>
        <w:tc>
          <w:tcPr>
            <w:tcW w:w="3119" w:type="dxa"/>
          </w:tcPr>
          <w:p w14:paraId="6B4F4DF9" w14:textId="77777777" w:rsidR="00521B01" w:rsidRDefault="00521B01" w:rsidP="00AD7923">
            <w:pPr>
              <w:spacing w:after="0"/>
            </w:pPr>
            <w:r>
              <w:t>QPS units 1-4</w:t>
            </w:r>
          </w:p>
        </w:tc>
        <w:tc>
          <w:tcPr>
            <w:tcW w:w="2227" w:type="dxa"/>
          </w:tcPr>
          <w:p w14:paraId="5C6F332E" w14:textId="3074FFAF" w:rsidR="00521B01" w:rsidRDefault="00521B01" w:rsidP="00AD7923">
            <w:pPr>
              <w:spacing w:after="0"/>
            </w:pPr>
            <w:r>
              <w:t>100</w:t>
            </w:r>
          </w:p>
        </w:tc>
      </w:tr>
      <w:tr w:rsidR="00521B01" w14:paraId="5323B1E6" w14:textId="77777777" w:rsidTr="00521B01">
        <w:tc>
          <w:tcPr>
            <w:tcW w:w="3402" w:type="dxa"/>
          </w:tcPr>
          <w:p w14:paraId="1A2CF03D" w14:textId="1381B73E" w:rsidR="00521B01" w:rsidRPr="002E29FE" w:rsidRDefault="008714B3" w:rsidP="00641B71">
            <w:pPr>
              <w:spacing w:after="0"/>
            </w:pPr>
            <w:r>
              <w:t>Either Heywood – South E</w:t>
            </w:r>
            <w:r w:rsidR="00521B01">
              <w:t>ast 275 kV</w:t>
            </w:r>
            <w:r w:rsidR="00641B71">
              <w:t xml:space="preserve"> (No.1 or No.2)</w:t>
            </w:r>
            <w:r w:rsidR="00521B01">
              <w:t xml:space="preserve"> line</w:t>
            </w:r>
            <w:r w:rsidR="00945C64">
              <w:t>.</w:t>
            </w:r>
          </w:p>
        </w:tc>
        <w:tc>
          <w:tcPr>
            <w:tcW w:w="3119" w:type="dxa"/>
          </w:tcPr>
          <w:p w14:paraId="490920F6" w14:textId="6CBB849E" w:rsidR="00BF7192" w:rsidRDefault="00066795" w:rsidP="007077A4">
            <w:pPr>
              <w:spacing w:after="0"/>
              <w:jc w:val="left"/>
            </w:pPr>
            <w:r w:rsidRPr="008714B3">
              <w:t>Heywood is a double circuit interconnector. On the loss of one circuit, Heywood interconn</w:t>
            </w:r>
            <w:r>
              <w:t xml:space="preserve">ector </w:t>
            </w:r>
            <w:r w:rsidR="007077A4">
              <w:t>flow from Victoria to South Australia will</w:t>
            </w:r>
            <w:r>
              <w:t xml:space="preserve"> be limited to 250 MW</w:t>
            </w:r>
            <w:r w:rsidR="007077A4">
              <w:t>.</w:t>
            </w:r>
            <w:r w:rsidRPr="008714B3">
              <w:t xml:space="preserve"> </w:t>
            </w:r>
            <w:r>
              <w:t>Therefore,</w:t>
            </w:r>
            <w:r w:rsidRPr="008714B3">
              <w:t xml:space="preserve"> the</w:t>
            </w:r>
            <w:r w:rsidR="00E43CDB">
              <w:t xml:space="preserve"> normal capacity at </w:t>
            </w:r>
            <w:r w:rsidR="00E373BA">
              <w:t xml:space="preserve">risk </w:t>
            </w:r>
            <w:r w:rsidR="00E373BA" w:rsidRPr="008714B3">
              <w:t>associated</w:t>
            </w:r>
            <w:r w:rsidRPr="008714B3">
              <w:t xml:space="preserve"> with the loss of </w:t>
            </w:r>
            <w:r w:rsidR="007077A4">
              <w:t>a</w:t>
            </w:r>
            <w:r w:rsidRPr="008714B3">
              <w:t xml:space="preserve"> </w:t>
            </w:r>
            <w:r w:rsidR="007077A4">
              <w:t>circuit</w:t>
            </w:r>
            <w:r w:rsidRPr="008714B3">
              <w:t xml:space="preserve"> of</w:t>
            </w:r>
            <w:r w:rsidR="007077A4">
              <w:t xml:space="preserve"> the</w:t>
            </w:r>
            <w:r w:rsidRPr="008714B3">
              <w:t xml:space="preserve"> Heywood interconnector is 350 MW.</w:t>
            </w:r>
            <w:r w:rsidR="00E43CDB">
              <w:t xml:space="preserve"> The capacity at risk for the loss of both elements would </w:t>
            </w:r>
            <w:r w:rsidR="007077A4">
              <w:t xml:space="preserve">normally </w:t>
            </w:r>
            <w:r w:rsidR="00E43CDB">
              <w:t xml:space="preserve">be 600 MW. </w:t>
            </w:r>
          </w:p>
        </w:tc>
        <w:tc>
          <w:tcPr>
            <w:tcW w:w="2227" w:type="dxa"/>
          </w:tcPr>
          <w:p w14:paraId="7E425E2C" w14:textId="725F70C1" w:rsidR="00521B01" w:rsidRDefault="00521B01" w:rsidP="00AD7923">
            <w:pPr>
              <w:spacing w:after="0"/>
            </w:pPr>
            <w:r>
              <w:t>350</w:t>
            </w:r>
          </w:p>
        </w:tc>
      </w:tr>
    </w:tbl>
    <w:p w14:paraId="6D47D370" w14:textId="77777777" w:rsidR="00521B01" w:rsidRDefault="00521B01" w:rsidP="00CA3FD2">
      <w:pPr>
        <w:pStyle w:val="Heading4"/>
      </w:pPr>
      <w:r>
        <w:t>Victoria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261"/>
        <w:gridCol w:w="1972"/>
      </w:tblGrid>
      <w:tr w:rsidR="00521B01" w:rsidRPr="008F7F71" w14:paraId="7A012C86" w14:textId="77777777" w:rsidTr="00521B01">
        <w:trPr>
          <w:tblHeader/>
        </w:trPr>
        <w:tc>
          <w:tcPr>
            <w:tcW w:w="3397" w:type="dxa"/>
          </w:tcPr>
          <w:p w14:paraId="77876A91" w14:textId="77777777" w:rsidR="00521B01" w:rsidRPr="008F7F71" w:rsidRDefault="00521B01" w:rsidP="00AD7923">
            <w:pPr>
              <w:spacing w:after="0"/>
              <w:rPr>
                <w:b/>
              </w:rPr>
            </w:pPr>
            <w:r w:rsidRPr="008F7F71">
              <w:rPr>
                <w:b/>
              </w:rPr>
              <w:t>Contingency</w:t>
            </w:r>
          </w:p>
        </w:tc>
        <w:tc>
          <w:tcPr>
            <w:tcW w:w="3261" w:type="dxa"/>
          </w:tcPr>
          <w:p w14:paraId="211038AF" w14:textId="3BABE9DC" w:rsidR="00521B01" w:rsidRPr="008F7F71" w:rsidRDefault="005D01A2" w:rsidP="00AD7923">
            <w:pPr>
              <w:spacing w:after="0"/>
              <w:rPr>
                <w:b/>
              </w:rPr>
            </w:pPr>
            <w:r>
              <w:rPr>
                <w:b/>
              </w:rPr>
              <w:t>R</w:t>
            </w:r>
            <w:r w:rsidRPr="00E722E2">
              <w:rPr>
                <w:b/>
              </w:rPr>
              <w:t>isk</w:t>
            </w:r>
          </w:p>
        </w:tc>
        <w:tc>
          <w:tcPr>
            <w:tcW w:w="1972" w:type="dxa"/>
          </w:tcPr>
          <w:p w14:paraId="065B5CBB" w14:textId="77777777" w:rsidR="00521B01" w:rsidRPr="008F7F71" w:rsidRDefault="00521B01" w:rsidP="00AD7923">
            <w:pPr>
              <w:spacing w:after="0"/>
              <w:rPr>
                <w:b/>
              </w:rPr>
            </w:pPr>
            <w:r w:rsidRPr="008F7F71">
              <w:rPr>
                <w:b/>
              </w:rPr>
              <w:t>Capacity at risk</w:t>
            </w:r>
            <w:r>
              <w:rPr>
                <w:b/>
              </w:rPr>
              <w:t xml:space="preserve"> (MW)</w:t>
            </w:r>
          </w:p>
        </w:tc>
      </w:tr>
      <w:tr w:rsidR="00521B01" w14:paraId="4EE76E5D" w14:textId="77777777" w:rsidTr="00521B01">
        <w:tc>
          <w:tcPr>
            <w:tcW w:w="3397" w:type="dxa"/>
          </w:tcPr>
          <w:p w14:paraId="1A161288" w14:textId="78ED5FD9" w:rsidR="00521B01" w:rsidRDefault="00521B01" w:rsidP="00AD7923">
            <w:pPr>
              <w:spacing w:after="0"/>
            </w:pPr>
            <w:r>
              <w:t>Mt Beauty – Mck</w:t>
            </w:r>
            <w:r w:rsidR="00D65556">
              <w:t>a</w:t>
            </w:r>
            <w:r>
              <w:t>y Ck 220 kV line</w:t>
            </w:r>
          </w:p>
        </w:tc>
        <w:tc>
          <w:tcPr>
            <w:tcW w:w="3261" w:type="dxa"/>
          </w:tcPr>
          <w:p w14:paraId="5BD1BD00" w14:textId="078E594F" w:rsidR="00521B01" w:rsidRDefault="00521B01" w:rsidP="00AD7923">
            <w:pPr>
              <w:spacing w:after="0"/>
            </w:pPr>
            <w:r>
              <w:t xml:space="preserve">All Bogong units and </w:t>
            </w:r>
            <w:r w:rsidR="00752A4D">
              <w:t xml:space="preserve">Mckay </w:t>
            </w:r>
            <w:r>
              <w:t>units</w:t>
            </w:r>
          </w:p>
        </w:tc>
        <w:tc>
          <w:tcPr>
            <w:tcW w:w="1972" w:type="dxa"/>
          </w:tcPr>
          <w:p w14:paraId="184CA1CA" w14:textId="527594E6" w:rsidR="00521B01" w:rsidRDefault="00521B01" w:rsidP="00AD7923">
            <w:pPr>
              <w:spacing w:after="0"/>
            </w:pPr>
            <w:r>
              <w:t>300</w:t>
            </w:r>
          </w:p>
        </w:tc>
      </w:tr>
      <w:tr w:rsidR="00521B01" w14:paraId="5E62EA68" w14:textId="77777777" w:rsidTr="00521B01">
        <w:tc>
          <w:tcPr>
            <w:tcW w:w="3397" w:type="dxa"/>
          </w:tcPr>
          <w:p w14:paraId="1F81D787" w14:textId="77777777" w:rsidR="00521B01" w:rsidRDefault="00521B01" w:rsidP="00AD7923">
            <w:pPr>
              <w:spacing w:after="0"/>
            </w:pPr>
            <w:r>
              <w:t>Basslink</w:t>
            </w:r>
          </w:p>
        </w:tc>
        <w:tc>
          <w:tcPr>
            <w:tcW w:w="3261" w:type="dxa"/>
          </w:tcPr>
          <w:p w14:paraId="5336258B" w14:textId="77777777" w:rsidR="00521B01" w:rsidRDefault="00521B01" w:rsidP="00AD7923">
            <w:pPr>
              <w:spacing w:after="0"/>
            </w:pPr>
            <w:r>
              <w:t>Basslink</w:t>
            </w:r>
          </w:p>
        </w:tc>
        <w:tc>
          <w:tcPr>
            <w:tcW w:w="1972" w:type="dxa"/>
          </w:tcPr>
          <w:p w14:paraId="5F4B149E" w14:textId="75FE795C" w:rsidR="00521B01" w:rsidRDefault="00521B01" w:rsidP="00AD7923">
            <w:pPr>
              <w:spacing w:after="0"/>
            </w:pPr>
            <w:r>
              <w:t>594</w:t>
            </w:r>
          </w:p>
        </w:tc>
      </w:tr>
      <w:tr w:rsidR="00851438" w14:paraId="50477928" w14:textId="77777777" w:rsidTr="00521B01">
        <w:tc>
          <w:tcPr>
            <w:tcW w:w="3397" w:type="dxa"/>
          </w:tcPr>
          <w:p w14:paraId="1137551F" w14:textId="03DE0DE8" w:rsidR="00851438" w:rsidRDefault="00851438" w:rsidP="00641B71">
            <w:pPr>
              <w:spacing w:after="0"/>
            </w:pPr>
            <w:r>
              <w:t xml:space="preserve">Either Heywood – South East 275 kV </w:t>
            </w:r>
            <w:r w:rsidR="00641B71">
              <w:t xml:space="preserve">(No.1 or No.2) </w:t>
            </w:r>
            <w:r>
              <w:t>line.</w:t>
            </w:r>
          </w:p>
        </w:tc>
        <w:tc>
          <w:tcPr>
            <w:tcW w:w="3261" w:type="dxa"/>
          </w:tcPr>
          <w:p w14:paraId="12C9511E" w14:textId="7229BCC9" w:rsidR="00851438" w:rsidRDefault="00851438" w:rsidP="00752A4D">
            <w:pPr>
              <w:spacing w:after="0"/>
              <w:jc w:val="left"/>
            </w:pPr>
            <w:r w:rsidRPr="00851438">
              <w:t xml:space="preserve">Heywood is a double circuit interconnector. On the loss of one circuit, Heywood interconnector </w:t>
            </w:r>
            <w:r w:rsidR="0084797F">
              <w:t xml:space="preserve">flow </w:t>
            </w:r>
            <w:r w:rsidR="00752A4D">
              <w:t>from South Australia to Victoria will</w:t>
            </w:r>
            <w:r w:rsidRPr="00851438">
              <w:t xml:space="preserve"> be limited to 250 MW. Therefore, the normal capacity at </w:t>
            </w:r>
            <w:r w:rsidR="00E373BA" w:rsidRPr="00851438">
              <w:t>risk associated</w:t>
            </w:r>
            <w:r w:rsidRPr="00851438">
              <w:t xml:space="preserve"> with the loss of an element of Heywood interconnector is </w:t>
            </w:r>
            <w:r w:rsidR="0084797F">
              <w:t>250</w:t>
            </w:r>
            <w:r w:rsidRPr="00851438">
              <w:t xml:space="preserve"> MW. The capacity at risk for the loss of both elements would </w:t>
            </w:r>
            <w:r w:rsidR="00E373BA">
              <w:t xml:space="preserve">normally </w:t>
            </w:r>
            <w:r w:rsidRPr="00851438">
              <w:t xml:space="preserve">be </w:t>
            </w:r>
            <w:r w:rsidR="0084797F">
              <w:t>500</w:t>
            </w:r>
            <w:r w:rsidRPr="00851438">
              <w:t xml:space="preserve"> MW.</w:t>
            </w:r>
          </w:p>
        </w:tc>
        <w:tc>
          <w:tcPr>
            <w:tcW w:w="1972" w:type="dxa"/>
          </w:tcPr>
          <w:p w14:paraId="5039B0FB" w14:textId="47C364C0" w:rsidR="00851438" w:rsidRDefault="00A94A67" w:rsidP="00AD7923">
            <w:pPr>
              <w:spacing w:after="0"/>
            </w:pPr>
            <w:r>
              <w:t>250</w:t>
            </w:r>
          </w:p>
        </w:tc>
      </w:tr>
      <w:tr w:rsidR="004F039A" w14:paraId="59D56A32" w14:textId="77777777" w:rsidTr="00521B01">
        <w:tc>
          <w:tcPr>
            <w:tcW w:w="3397" w:type="dxa"/>
          </w:tcPr>
          <w:p w14:paraId="0D88EB9B" w14:textId="5439FEA1" w:rsidR="004F039A" w:rsidRDefault="004F039A" w:rsidP="004F039A">
            <w:pPr>
              <w:spacing w:after="0"/>
            </w:pPr>
            <w:r>
              <w:t>Murraylink</w:t>
            </w:r>
          </w:p>
        </w:tc>
        <w:tc>
          <w:tcPr>
            <w:tcW w:w="3261" w:type="dxa"/>
          </w:tcPr>
          <w:p w14:paraId="58C358C6" w14:textId="54738A7E" w:rsidR="004F039A" w:rsidRPr="00851438" w:rsidRDefault="004F039A" w:rsidP="004F039A">
            <w:pPr>
              <w:spacing w:after="0"/>
              <w:jc w:val="left"/>
            </w:pPr>
            <w:r>
              <w:t>Murraylink</w:t>
            </w:r>
          </w:p>
        </w:tc>
        <w:tc>
          <w:tcPr>
            <w:tcW w:w="1972" w:type="dxa"/>
          </w:tcPr>
          <w:p w14:paraId="593177FF" w14:textId="3E82C093" w:rsidR="004F039A" w:rsidRDefault="004F039A" w:rsidP="004F039A">
            <w:pPr>
              <w:spacing w:after="0"/>
            </w:pPr>
            <w:r>
              <w:t>200</w:t>
            </w:r>
          </w:p>
        </w:tc>
      </w:tr>
    </w:tbl>
    <w:p w14:paraId="2E516121" w14:textId="77777777" w:rsidR="000D13F4" w:rsidRDefault="000D13F4" w:rsidP="00521B01"/>
    <w:p w14:paraId="0FAC6D64" w14:textId="77777777" w:rsidR="005A3271" w:rsidRDefault="005A3271" w:rsidP="00CA3FD2">
      <w:pPr>
        <w:pStyle w:val="Heading4"/>
      </w:pPr>
      <w:r>
        <w:lastRenderedPageBreak/>
        <w:t>Tasmania</w:t>
      </w:r>
    </w:p>
    <w:p w14:paraId="64ED3F96" w14:textId="77777777" w:rsidR="005A3271" w:rsidRDefault="005A3271" w:rsidP="005A3271">
      <w:pPr>
        <w:pStyle w:val="ResetPara"/>
      </w:pPr>
    </w:p>
    <w:p w14:paraId="7CAD4869" w14:textId="520BC78E" w:rsidR="005A3271" w:rsidRPr="004F5D65" w:rsidRDefault="00641B71" w:rsidP="00F1607D">
      <w:pPr>
        <w:pStyle w:val="BodyText"/>
      </w:pPr>
      <w:r>
        <w:t xml:space="preserve">The Tasmanian contingency list includes contingencies that are part of the </w:t>
      </w:r>
      <w:r w:rsidR="00F1607D">
        <w:t>reclassification</w:t>
      </w:r>
      <w:r>
        <w:t xml:space="preserve"> for the trip</w:t>
      </w:r>
      <w:r w:rsidR="00F1607D">
        <w:t xml:space="preserve"> of any Tasmanian transmission lines and the Basslink interconnector when importing from V</w:t>
      </w:r>
      <w:r w:rsidR="00742F19">
        <w:t>ictoria</w:t>
      </w:r>
      <w:r w:rsidR="00F1607D">
        <w:t>.</w:t>
      </w:r>
      <w:r w:rsidR="005A3271">
        <w:t xml:space="preserve"> For further information on the reclassification please refer to SO_OP_3715 – Power System Security Guidelines. </w:t>
      </w:r>
    </w:p>
    <w:tbl>
      <w:tblPr>
        <w:tblStyle w:val="TableGrid"/>
        <w:tblW w:w="0" w:type="auto"/>
        <w:tblLook w:val="04A0" w:firstRow="1" w:lastRow="0" w:firstColumn="1" w:lastColumn="0" w:noHBand="0" w:noVBand="1"/>
      </w:tblPr>
      <w:tblGrid>
        <w:gridCol w:w="3397"/>
        <w:gridCol w:w="3261"/>
        <w:gridCol w:w="1972"/>
      </w:tblGrid>
      <w:tr w:rsidR="005A3271" w:rsidRPr="001E588C" w14:paraId="6BEE5201" w14:textId="77777777" w:rsidTr="00E216B5">
        <w:tc>
          <w:tcPr>
            <w:tcW w:w="3397" w:type="dxa"/>
          </w:tcPr>
          <w:p w14:paraId="1EBFEC11" w14:textId="77777777" w:rsidR="005A3271" w:rsidRPr="001E588C" w:rsidRDefault="005A3271" w:rsidP="008B7589">
            <w:pPr>
              <w:spacing w:after="0"/>
              <w:jc w:val="left"/>
              <w:rPr>
                <w:b/>
              </w:rPr>
            </w:pPr>
            <w:r w:rsidRPr="001E588C">
              <w:rPr>
                <w:b/>
              </w:rPr>
              <w:t>Contingency</w:t>
            </w:r>
          </w:p>
        </w:tc>
        <w:tc>
          <w:tcPr>
            <w:tcW w:w="3261" w:type="dxa"/>
          </w:tcPr>
          <w:p w14:paraId="43D00ED5" w14:textId="77777777" w:rsidR="005A3271" w:rsidRPr="001E588C" w:rsidRDefault="005A3271" w:rsidP="008B7589">
            <w:pPr>
              <w:spacing w:after="0"/>
              <w:jc w:val="left"/>
              <w:rPr>
                <w:b/>
              </w:rPr>
            </w:pPr>
            <w:r>
              <w:rPr>
                <w:b/>
              </w:rPr>
              <w:t>R</w:t>
            </w:r>
            <w:r w:rsidRPr="00E722E2">
              <w:rPr>
                <w:b/>
              </w:rPr>
              <w:t>isk</w:t>
            </w:r>
          </w:p>
        </w:tc>
        <w:tc>
          <w:tcPr>
            <w:tcW w:w="1972" w:type="dxa"/>
          </w:tcPr>
          <w:p w14:paraId="1FD5E63C" w14:textId="77777777" w:rsidR="005A3271" w:rsidRPr="001E588C" w:rsidRDefault="005A3271" w:rsidP="008B7589">
            <w:pPr>
              <w:spacing w:after="0"/>
              <w:jc w:val="left"/>
              <w:rPr>
                <w:b/>
              </w:rPr>
            </w:pPr>
            <w:r w:rsidRPr="001E588C">
              <w:rPr>
                <w:b/>
              </w:rPr>
              <w:t>Capacity at risk (MW)</w:t>
            </w:r>
          </w:p>
        </w:tc>
      </w:tr>
      <w:tr w:rsidR="005A3271" w14:paraId="2321BCB3" w14:textId="77777777" w:rsidTr="00E216B5">
        <w:tc>
          <w:tcPr>
            <w:tcW w:w="3397" w:type="dxa"/>
          </w:tcPr>
          <w:p w14:paraId="30CCD1C5" w14:textId="77777777" w:rsidR="005A3271" w:rsidRDefault="005A3271" w:rsidP="00E216B5">
            <w:pPr>
              <w:spacing w:after="0"/>
              <w:jc w:val="left"/>
            </w:pPr>
            <w:r>
              <w:t>Basslink Import +</w:t>
            </w:r>
          </w:p>
          <w:p w14:paraId="3C985180" w14:textId="4C5BB949" w:rsidR="005A3271" w:rsidRDefault="005A3271" w:rsidP="00E216B5">
            <w:pPr>
              <w:spacing w:after="0"/>
              <w:jc w:val="left"/>
            </w:pPr>
            <w:r>
              <w:t xml:space="preserve">Any Generating unit connected to the power system by a </w:t>
            </w:r>
            <w:r w:rsidR="00E373BA">
              <w:t>single</w:t>
            </w:r>
            <w:r>
              <w:t xml:space="preserve"> transmission line</w:t>
            </w:r>
          </w:p>
        </w:tc>
        <w:tc>
          <w:tcPr>
            <w:tcW w:w="3261" w:type="dxa"/>
          </w:tcPr>
          <w:p w14:paraId="3A7B7AA9" w14:textId="77777777" w:rsidR="005A3271" w:rsidRDefault="005A3271" w:rsidP="00E216B5">
            <w:pPr>
              <w:spacing w:after="0"/>
              <w:jc w:val="left"/>
            </w:pPr>
            <w:r>
              <w:t>Basslink Import +</w:t>
            </w:r>
          </w:p>
          <w:p w14:paraId="2E1D7319" w14:textId="2DB5F9B3" w:rsidR="005A3271" w:rsidRDefault="005A3271" w:rsidP="00E216B5">
            <w:pPr>
              <w:spacing w:after="0"/>
              <w:jc w:val="left"/>
            </w:pPr>
            <w:r>
              <w:t xml:space="preserve">Any Generating unit connected to the power system by a </w:t>
            </w:r>
            <w:r w:rsidR="00E373BA">
              <w:t>single</w:t>
            </w:r>
            <w:r>
              <w:t xml:space="preserve"> transmission line</w:t>
            </w:r>
          </w:p>
        </w:tc>
        <w:tc>
          <w:tcPr>
            <w:tcW w:w="1972" w:type="dxa"/>
          </w:tcPr>
          <w:p w14:paraId="3AD5476C" w14:textId="1C7F6FB0" w:rsidR="005A3271" w:rsidRDefault="005A3271" w:rsidP="00E216B5">
            <w:pPr>
              <w:spacing w:after="0"/>
            </w:pPr>
            <w:r>
              <w:t>510-646</w:t>
            </w:r>
          </w:p>
        </w:tc>
      </w:tr>
      <w:tr w:rsidR="005A3271" w14:paraId="2B1F9C16" w14:textId="77777777" w:rsidTr="00E216B5">
        <w:tc>
          <w:tcPr>
            <w:tcW w:w="3397" w:type="dxa"/>
          </w:tcPr>
          <w:p w14:paraId="6050D6EC" w14:textId="6C95BCCE" w:rsidR="005A3271" w:rsidRDefault="005A3271" w:rsidP="00E216B5">
            <w:pPr>
              <w:spacing w:after="0"/>
            </w:pPr>
            <w:r>
              <w:t>Liapootah-Wayatinah 220 kV</w:t>
            </w:r>
            <w:r w:rsidR="00F1607D">
              <w:t xml:space="preserve"> line</w:t>
            </w:r>
          </w:p>
        </w:tc>
        <w:tc>
          <w:tcPr>
            <w:tcW w:w="3261" w:type="dxa"/>
          </w:tcPr>
          <w:p w14:paraId="185208E8" w14:textId="77777777" w:rsidR="005A3271" w:rsidRDefault="005A3271" w:rsidP="00E216B5">
            <w:pPr>
              <w:spacing w:after="0"/>
            </w:pPr>
            <w:r>
              <w:t>Wayatinah + Catagunya</w:t>
            </w:r>
          </w:p>
        </w:tc>
        <w:tc>
          <w:tcPr>
            <w:tcW w:w="1972" w:type="dxa"/>
          </w:tcPr>
          <w:p w14:paraId="1E2C78B6" w14:textId="5FEC71F3" w:rsidR="005A3271" w:rsidRDefault="005A3271" w:rsidP="00E216B5">
            <w:pPr>
              <w:spacing w:after="0"/>
            </w:pPr>
            <w:r>
              <w:t>86</w:t>
            </w:r>
          </w:p>
        </w:tc>
      </w:tr>
      <w:tr w:rsidR="005A3271" w14:paraId="67A6FB52" w14:textId="77777777" w:rsidTr="00E216B5">
        <w:tc>
          <w:tcPr>
            <w:tcW w:w="3397" w:type="dxa"/>
          </w:tcPr>
          <w:p w14:paraId="76B3B3C8" w14:textId="77777777" w:rsidR="005A3271" w:rsidRDefault="005A3271" w:rsidP="00E216B5">
            <w:pPr>
              <w:spacing w:after="0"/>
            </w:pPr>
            <w:r>
              <w:t>Basslink Import</w:t>
            </w:r>
          </w:p>
        </w:tc>
        <w:tc>
          <w:tcPr>
            <w:tcW w:w="3261" w:type="dxa"/>
          </w:tcPr>
          <w:p w14:paraId="6704FDE9" w14:textId="77777777" w:rsidR="005A3271" w:rsidRDefault="005A3271" w:rsidP="00E216B5">
            <w:pPr>
              <w:spacing w:after="0"/>
            </w:pPr>
            <w:r>
              <w:t>Basslink</w:t>
            </w:r>
          </w:p>
        </w:tc>
        <w:tc>
          <w:tcPr>
            <w:tcW w:w="1972" w:type="dxa"/>
          </w:tcPr>
          <w:p w14:paraId="458DB008" w14:textId="39228E83" w:rsidR="005A3271" w:rsidRDefault="005A3271" w:rsidP="00E216B5">
            <w:pPr>
              <w:spacing w:after="0"/>
            </w:pPr>
            <w:r>
              <w:t>478</w:t>
            </w:r>
          </w:p>
        </w:tc>
      </w:tr>
    </w:tbl>
    <w:p w14:paraId="46781B71" w14:textId="77777777" w:rsidR="005A3271" w:rsidRPr="00E0329C" w:rsidRDefault="005A3271" w:rsidP="00521B01"/>
    <w:sectPr w:rsidR="005A3271" w:rsidRPr="00E0329C" w:rsidSect="00596E73">
      <w:headerReference w:type="even" r:id="rId22"/>
      <w:headerReference w:type="default" r:id="rId23"/>
      <w:footerReference w:type="default" r:id="rId24"/>
      <w:headerReference w:type="first" r:id="rId25"/>
      <w:pgSz w:w="11906" w:h="16838" w:code="9"/>
      <w:pgMar w:top="1871" w:right="1361" w:bottom="1309" w:left="1361" w:header="102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4DE23" w14:textId="77777777" w:rsidR="00110BB1" w:rsidRDefault="00110BB1" w:rsidP="00710277">
      <w:pPr>
        <w:spacing w:after="0" w:line="240" w:lineRule="auto"/>
      </w:pPr>
      <w:r>
        <w:separator/>
      </w:r>
    </w:p>
  </w:endnote>
  <w:endnote w:type="continuationSeparator" w:id="0">
    <w:p w14:paraId="34E3C2F4" w14:textId="77777777" w:rsidR="00110BB1" w:rsidRDefault="00110BB1" w:rsidP="0071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C265A" w14:textId="77777777" w:rsidR="00435A2E" w:rsidRDefault="00435A2E" w:rsidP="00435A2E">
    <w:pPr>
      <w:pStyle w:val="ImprintFooter1"/>
    </w:pPr>
    <w:r>
      <w:drawing>
        <wp:anchor distT="0" distB="0" distL="114300" distR="114300" simplePos="0" relativeHeight="251723264" behindDoc="1" locked="0" layoutInCell="1" allowOverlap="1" wp14:anchorId="5C35335C" wp14:editId="00003E0C">
          <wp:simplePos x="0" y="0"/>
          <wp:positionH relativeFrom="page">
            <wp:posOffset>688619</wp:posOffset>
          </wp:positionH>
          <wp:positionV relativeFrom="page">
            <wp:posOffset>8967470</wp:posOffset>
          </wp:positionV>
          <wp:extent cx="6837045" cy="947419"/>
          <wp:effectExtent l="0" t="0" r="1905" b="5715"/>
          <wp:wrapNone/>
          <wp:docPr id="26" name="Picture 26"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045" cy="947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8842A9" w14:textId="77777777" w:rsidR="00435A2E" w:rsidRDefault="00435A2E" w:rsidP="00435A2E">
    <w:pPr>
      <w:pStyle w:val="ImprintFooter1"/>
    </w:pPr>
  </w:p>
  <w:p w14:paraId="0671F988" w14:textId="77777777" w:rsidR="00435A2E" w:rsidRDefault="00435A2E" w:rsidP="00435A2E">
    <w:pPr>
      <w:pStyle w:val="ImprintFooter1"/>
    </w:pPr>
    <w:r>
      <w:drawing>
        <wp:anchor distT="0" distB="0" distL="114300" distR="114300" simplePos="0" relativeHeight="251722240" behindDoc="1" locked="1" layoutInCell="1" allowOverlap="1" wp14:anchorId="2458FBDF" wp14:editId="04C3659F">
          <wp:simplePos x="0" y="0"/>
          <wp:positionH relativeFrom="page">
            <wp:posOffset>998855</wp:posOffset>
          </wp:positionH>
          <wp:positionV relativeFrom="page">
            <wp:posOffset>11193780</wp:posOffset>
          </wp:positionV>
          <wp:extent cx="6174105" cy="323850"/>
          <wp:effectExtent l="0" t="0" r="0" b="0"/>
          <wp:wrapNone/>
          <wp:docPr id="27" name="Picture 27"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21216" behindDoc="1" locked="1" layoutInCell="1" allowOverlap="1" wp14:anchorId="571E2A3A" wp14:editId="3B46C604">
          <wp:simplePos x="0" y="0"/>
          <wp:positionH relativeFrom="page">
            <wp:posOffset>846455</wp:posOffset>
          </wp:positionH>
          <wp:positionV relativeFrom="page">
            <wp:posOffset>11041380</wp:posOffset>
          </wp:positionV>
          <wp:extent cx="6174105" cy="323850"/>
          <wp:effectExtent l="0" t="0" r="0" b="0"/>
          <wp:wrapNone/>
          <wp:docPr id="28" name="Picture 28"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t>Australian Energy Market Operator Ltd    ABN 94 072 010 327</w:t>
    </w:r>
    <w:r>
      <w:tab/>
    </w:r>
    <w:hyperlink r:id="rId3" w:history="1">
      <w:r w:rsidRPr="008E6567">
        <w:t>www.aemo.com.au</w:t>
      </w:r>
    </w:hyperlink>
    <w:r>
      <w:t xml:space="preserve">    </w:t>
    </w:r>
    <w:hyperlink r:id="rId4" w:history="1">
      <w:r w:rsidRPr="008E6567">
        <w:t>info@aemo.com.au</w:t>
      </w:r>
    </w:hyperlink>
  </w:p>
  <w:p w14:paraId="5D7E895B" w14:textId="77777777" w:rsidR="00435A2E" w:rsidRPr="007A6FE8" w:rsidRDefault="00435A2E" w:rsidP="00435A2E">
    <w:pPr>
      <w:pStyle w:val="ImprintFooter2"/>
    </w:pPr>
    <w:r w:rsidRPr="007A6FE8">
      <w:t>NEW SOUTH WALES</w:t>
    </w:r>
    <w:r w:rsidRPr="007A6FE8">
      <w:tab/>
      <w:t>QUEENSLAND</w:t>
    </w:r>
    <w:r w:rsidRPr="007A6FE8">
      <w:tab/>
      <w:t>SOUTH AUSTRALIA</w:t>
    </w:r>
    <w:r w:rsidRPr="007A6FE8">
      <w:tab/>
      <w:t>VICTORIA</w:t>
    </w:r>
    <w:r w:rsidRPr="007A6FE8">
      <w:tab/>
      <w:t>AUSTRALIAN CAPITAL TERRITORY</w:t>
    </w:r>
    <w:r w:rsidRPr="007A6FE8">
      <w:tab/>
      <w:t>TASMANIA</w:t>
    </w:r>
    <w:r w:rsidRPr="007A6FE8">
      <w:tab/>
      <w:t>WESTERN AUSTRALIA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84E82" w14:textId="77777777" w:rsidR="005537C0" w:rsidRDefault="005537C0">
    <w:pPr>
      <w:pStyle w:val="Footer"/>
    </w:pPr>
    <w:r>
      <w:rPr>
        <w:noProof/>
        <w:sz w:val="20"/>
        <w:szCs w:val="20"/>
        <w:lang w:eastAsia="en-AU"/>
      </w:rPr>
      <w:drawing>
        <wp:anchor distT="0" distB="0" distL="114300" distR="114300" simplePos="0" relativeHeight="251677184" behindDoc="1" locked="0" layoutInCell="1" allowOverlap="1" wp14:anchorId="5093B2FE" wp14:editId="4D46947D">
          <wp:simplePos x="0" y="0"/>
          <wp:positionH relativeFrom="page">
            <wp:posOffset>140335</wp:posOffset>
          </wp:positionH>
          <wp:positionV relativeFrom="page">
            <wp:posOffset>9901555</wp:posOffset>
          </wp:positionV>
          <wp:extent cx="7286400" cy="655200"/>
          <wp:effectExtent l="0" t="0" r="0" b="0"/>
          <wp:wrapNone/>
          <wp:docPr id="17"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0FA77" w14:textId="77777777" w:rsidR="005537C0" w:rsidRPr="00734044" w:rsidRDefault="005537C0" w:rsidP="00F324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egalFooterTable"/>
      <w:tblW w:w="5000" w:type="pct"/>
      <w:tblBorders>
        <w:top w:val="single" w:sz="4" w:space="0" w:color="1E4164" w:themeColor="accent6"/>
      </w:tblBorders>
      <w:tblLook w:val="04A0" w:firstRow="1" w:lastRow="0" w:firstColumn="1" w:lastColumn="0" w:noHBand="0" w:noVBand="1"/>
    </w:tblPr>
    <w:tblGrid>
      <w:gridCol w:w="3062"/>
      <w:gridCol w:w="3061"/>
      <w:gridCol w:w="3061"/>
    </w:tblGrid>
    <w:tr w:rsidR="006B6119" w:rsidRPr="00734044" w14:paraId="0906F993" w14:textId="77777777" w:rsidTr="00947C15">
      <w:trPr>
        <w:trHeight w:hRule="exact" w:val="198"/>
      </w:trPr>
      <w:tc>
        <w:tcPr>
          <w:tcW w:w="3058" w:type="dxa"/>
        </w:tcPr>
        <w:p w14:paraId="41ED3467" w14:textId="67FD5CF3" w:rsidR="006B6119" w:rsidRPr="00F32421" w:rsidRDefault="006B6119" w:rsidP="006B6119">
          <w:pPr>
            <w:pStyle w:val="Footer"/>
            <w:tabs>
              <w:tab w:val="clear" w:pos="8239"/>
              <w:tab w:val="clear" w:pos="9185"/>
            </w:tabs>
          </w:pPr>
        </w:p>
      </w:tc>
      <w:tc>
        <w:tcPr>
          <w:tcW w:w="3058" w:type="dxa"/>
        </w:tcPr>
        <w:p w14:paraId="44003174" w14:textId="237BA687" w:rsidR="006B6119" w:rsidRPr="00F32421" w:rsidRDefault="00970794" w:rsidP="002A0514">
          <w:pPr>
            <w:pStyle w:val="Footer"/>
            <w:tabs>
              <w:tab w:val="clear" w:pos="8239"/>
              <w:tab w:val="clear" w:pos="9185"/>
            </w:tabs>
            <w:jc w:val="center"/>
          </w:pPr>
          <w:r>
            <w:t>2</w:t>
          </w:r>
          <w:r w:rsidR="002A0514">
            <w:t>2</w:t>
          </w:r>
          <w:r>
            <w:t xml:space="preserve"> December 2017</w:t>
          </w:r>
        </w:p>
      </w:tc>
      <w:tc>
        <w:tcPr>
          <w:tcW w:w="3058" w:type="dxa"/>
        </w:tcPr>
        <w:p w14:paraId="56760768" w14:textId="390539AC" w:rsidR="006B6119" w:rsidRPr="00734044" w:rsidRDefault="006B6119" w:rsidP="006B6119">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sidR="00B603A4">
            <w:rPr>
              <w:noProof/>
            </w:rPr>
            <w:t>8</w:t>
          </w:r>
          <w:r w:rsidRPr="00F32421">
            <w:fldChar w:fldCharType="end"/>
          </w:r>
          <w:r>
            <w:t xml:space="preserve"> of </w:t>
          </w:r>
          <w:r w:rsidR="00110BB1">
            <w:fldChar w:fldCharType="begin"/>
          </w:r>
          <w:r w:rsidR="00110BB1">
            <w:instrText xml:space="preserve"> NUMPAGES   \* MERGEFORMAT </w:instrText>
          </w:r>
          <w:r w:rsidR="00110BB1">
            <w:fldChar w:fldCharType="separate"/>
          </w:r>
          <w:r w:rsidR="00B603A4">
            <w:rPr>
              <w:noProof/>
            </w:rPr>
            <w:t>8</w:t>
          </w:r>
          <w:r w:rsidR="00110BB1">
            <w:rPr>
              <w:noProof/>
            </w:rPr>
            <w:fldChar w:fldCharType="end"/>
          </w:r>
        </w:p>
      </w:tc>
    </w:tr>
  </w:tbl>
  <w:p w14:paraId="6BA1393E" w14:textId="77777777" w:rsidR="006B6119" w:rsidRPr="00734044" w:rsidRDefault="006B6119" w:rsidP="006B61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FCD82" w14:textId="77777777" w:rsidR="00110BB1" w:rsidRPr="005032D6" w:rsidRDefault="00110BB1" w:rsidP="00710277">
      <w:pPr>
        <w:spacing w:after="0" w:line="240" w:lineRule="auto"/>
      </w:pPr>
      <w:r w:rsidRPr="005032D6">
        <w:separator/>
      </w:r>
    </w:p>
  </w:footnote>
  <w:footnote w:type="continuationSeparator" w:id="0">
    <w:p w14:paraId="04804FC9" w14:textId="77777777" w:rsidR="00110BB1" w:rsidRDefault="00110BB1" w:rsidP="007102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42A18" w14:textId="77777777" w:rsidR="003A585A" w:rsidRDefault="003A585A" w:rsidP="003A585A">
    <w:pPr>
      <w:pStyle w:val="Header"/>
    </w:pPr>
    <w:r>
      <w:drawing>
        <wp:anchor distT="0" distB="0" distL="114300" distR="114300" simplePos="0" relativeHeight="251719168" behindDoc="1" locked="0" layoutInCell="1" allowOverlap="1" wp14:anchorId="69E77FE3" wp14:editId="71220FC3">
          <wp:simplePos x="0" y="0"/>
          <wp:positionH relativeFrom="page">
            <wp:posOffset>0</wp:posOffset>
          </wp:positionH>
          <wp:positionV relativeFrom="page">
            <wp:posOffset>0</wp:posOffset>
          </wp:positionV>
          <wp:extent cx="7560000" cy="1594800"/>
          <wp:effectExtent l="0" t="0" r="317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7560000" cy="159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F9443" w14:textId="77777777" w:rsidR="003A585A" w:rsidRDefault="003A585A" w:rsidP="003A585A">
    <w:pPr>
      <w:pStyle w:val="Header"/>
    </w:pPr>
    <w:r>
      <mc:AlternateContent>
        <mc:Choice Requires="wps">
          <w:drawing>
            <wp:anchor distT="0" distB="0" distL="114300" distR="114300" simplePos="0" relativeHeight="251717120" behindDoc="0" locked="0" layoutInCell="1" allowOverlap="1" wp14:anchorId="42C3A60C" wp14:editId="66C5FE16">
              <wp:simplePos x="0" y="0"/>
              <wp:positionH relativeFrom="page">
                <wp:posOffset>0</wp:posOffset>
              </wp:positionH>
              <wp:positionV relativeFrom="page">
                <wp:posOffset>1745615</wp:posOffset>
              </wp:positionV>
              <wp:extent cx="7559675" cy="464185"/>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59675" cy="464185"/>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486756C" id="Rectangle 317" o:spid="_x0000_s1026" style="position:absolute;margin-left:0;margin-top:137.45pt;width:595.25pt;height:36.5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" fillcolor="#e8e4dc" stroked="f" strokeweight="2pt">
              <w10:wrap anchorx="page" anchory="page"/>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3A585A" w14:paraId="0C2B9D5B" w14:textId="77777777" w:rsidTr="009E04C0">
      <w:trPr>
        <w:trHeight w:hRule="exact" w:val="2789"/>
      </w:trPr>
      <w:tc>
        <w:tcPr>
          <w:tcW w:w="9400" w:type="dxa"/>
        </w:tcPr>
        <w:p w14:paraId="6287BB5C" w14:textId="77777777" w:rsidR="003A585A" w:rsidRDefault="003A585A" w:rsidP="003A585A">
          <w:pPr>
            <w:pStyle w:val="Header"/>
          </w:pPr>
        </w:p>
      </w:tc>
    </w:tr>
  </w:tbl>
  <w:p w14:paraId="004052E0" w14:textId="77777777" w:rsidR="003A585A" w:rsidRPr="00D34E41" w:rsidRDefault="003A585A" w:rsidP="003A585A">
    <w:pPr>
      <w:pStyle w:val="Header"/>
    </w:pPr>
    <w:r w:rsidRPr="003F7E5C">
      <mc:AlternateContent>
        <mc:Choice Requires="wps">
          <w:drawing>
            <wp:anchor distT="0" distB="0" distL="114300" distR="114300" simplePos="0" relativeHeight="251718144" behindDoc="1" locked="1" layoutInCell="1" allowOverlap="1" wp14:anchorId="54B18921" wp14:editId="39E6897C">
              <wp:simplePos x="0" y="0"/>
              <wp:positionH relativeFrom="page">
                <wp:posOffset>0</wp:posOffset>
              </wp:positionH>
              <wp:positionV relativeFrom="page">
                <wp:posOffset>1575435</wp:posOffset>
              </wp:positionV>
              <wp:extent cx="7559675" cy="175895"/>
              <wp:effectExtent l="0" t="0" r="317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5895"/>
                      </a:xfrm>
                      <a:prstGeom prst="rect">
                        <a:avLst/>
                      </a:prstGeom>
                      <a:solidFill>
                        <a:schemeClr val="accent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A9F391B" id="Rectangle 4" o:spid="_x0000_s1026" style="position:absolute;margin-left:0;margin-top:124.05pt;width:595.25pt;height:13.8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" fillcolor="#948671 [3208]" stroked="f">
              <w10:wrap anchorx="page" anchory="page"/>
              <w10:anchorlo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24562" w14:textId="77777777" w:rsidR="005537C0" w:rsidRDefault="005537C0" w:rsidP="00BD6C4C">
    <w:pPr>
      <w:pStyle w:val="Header"/>
    </w:pPr>
    <w:r>
      <w:drawing>
        <wp:anchor distT="0" distB="0" distL="114300" distR="114300" simplePos="0" relativeHeight="251628032" behindDoc="0" locked="0" layoutInCell="1" allowOverlap="1" wp14:anchorId="25276437" wp14:editId="733C66DF">
          <wp:simplePos x="0" y="0"/>
          <wp:positionH relativeFrom="column">
            <wp:posOffset>-302895</wp:posOffset>
          </wp:positionH>
          <wp:positionV relativeFrom="paragraph">
            <wp:posOffset>-30480</wp:posOffset>
          </wp:positionV>
          <wp:extent cx="213862" cy="213995"/>
          <wp:effectExtent l="0" t="0" r="0" b="0"/>
          <wp:wrapNone/>
          <wp:docPr id="12"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29056" behindDoc="0" locked="0" layoutInCell="1" allowOverlap="1" wp14:anchorId="6F43717E" wp14:editId="0965F1FA">
          <wp:simplePos x="0" y="0"/>
          <wp:positionH relativeFrom="column">
            <wp:posOffset>-301704</wp:posOffset>
          </wp:positionH>
          <wp:positionV relativeFrom="paragraph">
            <wp:posOffset>-29845</wp:posOffset>
          </wp:positionV>
          <wp:extent cx="213862" cy="213995"/>
          <wp:effectExtent l="0" t="0" r="0" b="0"/>
          <wp:wrapNone/>
          <wp:docPr id="13"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27008" behindDoc="0" locked="0" layoutInCell="1" allowOverlap="1" wp14:anchorId="2700B965" wp14:editId="61D52CA9">
              <wp:simplePos x="0" y="0"/>
              <wp:positionH relativeFrom="column">
                <wp:posOffset>-565471</wp:posOffset>
              </wp:positionH>
              <wp:positionV relativeFrom="paragraph">
                <wp:posOffset>-34120</wp:posOffset>
              </wp:positionV>
              <wp:extent cx="476546" cy="213995"/>
              <wp:effectExtent l="0" t="0" r="0" b="0"/>
              <wp:wrapNone/>
              <wp:docPr id="308"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xmlns:cx="http://schemas.microsoft.com/office/drawing/2014/chartex" xmlns:cx1="http://schemas.microsoft.com/office/drawing/2015/9/8/chartex" xmlns:w16se="http://schemas.microsoft.com/office/word/2015/wordml/symex">
          <w:pict>
            <v:group w14:anchorId="497F143E" id="BothIcons" o:spid="_x0000_s1026" style="position:absolute;margin-left:-44.55pt;margin-top:-2.7pt;width:37.5pt;height:16.85pt;z-index:251627008"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">
                <v:imagedata r:id="rId3" o:title=""/>
                <v:path arrowok="t"/>
              </v:shape>
              <v:shape id="GasIcon" o:spid="_x0000_s1028" type="#_x0000_t75" style="position:absolute;left:262551;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">
                <v:imagedata r:id="rId4" o:title=""/>
                <v:path arrowok="t"/>
              </v:shape>
            </v:group>
          </w:pict>
        </mc:Fallback>
      </mc:AlternateContent>
    </w:r>
    <w:r>
      <w:rPr>
        <w:position w:val="-10"/>
      </w:rPr>
      <w:drawing>
        <wp:anchor distT="0" distB="0" distL="114300" distR="114300" simplePos="0" relativeHeight="251630080" behindDoc="1" locked="0" layoutInCell="1" allowOverlap="1" wp14:anchorId="4A1F287C" wp14:editId="2860F5C4">
          <wp:simplePos x="0" y="0"/>
          <wp:positionH relativeFrom="page">
            <wp:posOffset>0</wp:posOffset>
          </wp:positionH>
          <wp:positionV relativeFrom="page">
            <wp:posOffset>0</wp:posOffset>
          </wp:positionV>
          <wp:extent cx="7570800" cy="925200"/>
          <wp:effectExtent l="0" t="0" r="0" b="8255"/>
          <wp:wrapNone/>
          <wp:docPr id="14" name="Picture 14"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fldSimple w:instr=" STYLEREF  Title  \* MERGEFORMAT ">
      <w:r w:rsidR="00F93B79">
        <w:t>Lack of reserve - Credible Contingency List</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3790" w14:textId="7AD18DCE" w:rsidR="005537C0" w:rsidRPr="00BD6C4C" w:rsidRDefault="005537C0" w:rsidP="00BD6C4C">
    <w:pPr>
      <w:pStyle w:val="Header"/>
    </w:pPr>
    <w:r>
      <w:fldChar w:fldCharType="begin"/>
    </w:r>
    <w:r w:rsidRPr="00C63C58">
      <w:instrText xml:space="preserve"> STYLEREF  Title  \* MERGEFORMAT </w:instrText>
    </w:r>
    <w:r>
      <w:fldChar w:fldCharType="separate"/>
    </w:r>
    <w:r w:rsidR="00B603A4">
      <w:t>Lack of reserve - Credible Contingency List</w:t>
    </w:r>
    <w:r>
      <w:fldChar w:fldCharType="end"/>
    </w:r>
    <w:r w:rsidRPr="00BD6C4C">
      <w:drawing>
        <wp:anchor distT="0" distB="0" distL="114300" distR="114300" simplePos="0" relativeHeight="251643392" behindDoc="1" locked="1" layoutInCell="1" allowOverlap="1" wp14:anchorId="2AC11614" wp14:editId="4C78C7BE">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16"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07F45" w14:textId="77777777" w:rsidR="00596E73" w:rsidRDefault="00596E7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9672D" w14:textId="77777777" w:rsidR="00596E73" w:rsidRDefault="00596E73">
    <w:pPr>
      <w:pStyle w:val="Header"/>
    </w:pPr>
  </w:p>
  <w:p w14:paraId="5907FB2B" w14:textId="77777777" w:rsidR="00C93ECD" w:rsidRDefault="00C93EC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B3B42" w14:textId="03EA30A1" w:rsidR="00C93ECD" w:rsidRDefault="005537C0" w:rsidP="00BC3A8F">
    <w:pPr>
      <w:pStyle w:val="Header"/>
    </w:pPr>
    <w:r>
      <w:fldChar w:fldCharType="begin"/>
    </w:r>
    <w:r w:rsidRPr="00C63C58">
      <w:instrText xml:space="preserve"> STYLEREF  Title  \* MERGEFORMAT </w:instrText>
    </w:r>
    <w:r>
      <w:fldChar w:fldCharType="separate"/>
    </w:r>
    <w:r w:rsidR="00B603A4">
      <w:t>Lack of reserve - Credible Contingency List</w:t>
    </w:r>
    <w:r>
      <w:fldChar w:fldCharType="end"/>
    </w:r>
    <w:r w:rsidRPr="00BD6C4C">
      <w:drawing>
        <wp:anchor distT="0" distB="0" distL="114300" distR="114300" simplePos="0" relativeHeight="251705856" behindDoc="1" locked="1" layoutInCell="1" allowOverlap="1" wp14:anchorId="58E86947" wp14:editId="671BABEC">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18"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CF5F1" w14:textId="77777777" w:rsidR="00596E73" w:rsidRDefault="00596E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550F3"/>
    <w:multiLevelType w:val="multilevel"/>
    <w:tmpl w:val="CFD4A398"/>
    <w:lvl w:ilvl="0">
      <w:start w:val="1"/>
      <w:numFmt w:val="decimal"/>
      <w:pStyle w:val="ScheduleSection"/>
      <w:lvlText w:val="Schedule %1."/>
      <w:lvlJc w:val="left"/>
      <w:pPr>
        <w:ind w:left="0" w:firstLine="0"/>
      </w:pPr>
      <w:rPr>
        <w:rFonts w:hint="default"/>
      </w:rPr>
    </w:lvl>
    <w:lvl w:ilvl="1">
      <w:start w:val="1"/>
      <w:numFmt w:val="none"/>
      <w:pStyle w:val="SchedHdg1"/>
      <w:lvlText w:val="S%1"/>
      <w:lvlJc w:val="left"/>
      <w:pPr>
        <w:tabs>
          <w:tab w:val="num" w:pos="709"/>
        </w:tabs>
        <w:ind w:left="709" w:hanging="709"/>
      </w:pPr>
      <w:rPr>
        <w:rFonts w:hint="default"/>
      </w:rPr>
    </w:lvl>
    <w:lvl w:ilvl="2">
      <w:start w:val="1"/>
      <w:numFmt w:val="decimal"/>
      <w:pStyle w:val="SchedHdg2"/>
      <w:lvlText w:val="S%1.%3"/>
      <w:lvlJc w:val="left"/>
      <w:pPr>
        <w:tabs>
          <w:tab w:val="num" w:pos="709"/>
        </w:tabs>
        <w:ind w:left="709" w:hanging="709"/>
      </w:pPr>
      <w:rPr>
        <w:rFonts w:hint="default"/>
      </w:rPr>
    </w:lvl>
    <w:lvl w:ilvl="3">
      <w:start w:val="1"/>
      <w:numFmt w:val="upperLetter"/>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EA084E"/>
    <w:multiLevelType w:val="multilevel"/>
    <w:tmpl w:val="38D47CD2"/>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2" w15:restartNumberingAfterBreak="0">
    <w:nsid w:val="036A2B72"/>
    <w:multiLevelType w:val="multilevel"/>
    <w:tmpl w:val="5358B5EE"/>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77C4B70"/>
    <w:multiLevelType w:val="multilevel"/>
    <w:tmpl w:val="CE7E5436"/>
    <w:lvl w:ilvl="0">
      <w:start w:val="1"/>
      <w:numFmt w:val="upperLetter"/>
      <w:pStyle w:val="AppendixHeading1"/>
      <w:lvlText w:val="Appendix %1."/>
      <w:lvlJc w:val="left"/>
      <w:pPr>
        <w:tabs>
          <w:tab w:val="num" w:pos="3828"/>
        </w:tabs>
        <w:ind w:left="1702" w:firstLine="0"/>
      </w:pPr>
      <w:rPr>
        <w:rFonts w:hint="default"/>
      </w:rPr>
    </w:lvl>
    <w:lvl w:ilvl="1">
      <w:start w:val="1"/>
      <w:numFmt w:val="decimal"/>
      <w:pStyle w:val="AppendixHeading2"/>
      <w:lvlText w:val="%1.%2"/>
      <w:lvlJc w:val="left"/>
      <w:pPr>
        <w:ind w:left="2694" w:hanging="992"/>
      </w:pPr>
      <w:rPr>
        <w:rFonts w:hint="default"/>
      </w:rPr>
    </w:lvl>
    <w:lvl w:ilvl="2">
      <w:start w:val="1"/>
      <w:numFmt w:val="decimal"/>
      <w:pStyle w:val="AppendixHeading3"/>
      <w:lvlText w:val="%1.%2.%3"/>
      <w:lvlJc w:val="left"/>
      <w:pPr>
        <w:ind w:left="2694" w:hanging="992"/>
      </w:pPr>
      <w:rPr>
        <w:rFonts w:hint="default"/>
      </w:rPr>
    </w:lvl>
    <w:lvl w:ilvl="3">
      <w:start w:val="1"/>
      <w:numFmt w:val="none"/>
      <w:suff w:val="nothing"/>
      <w:lvlText w:val=""/>
      <w:lvlJc w:val="left"/>
      <w:pPr>
        <w:ind w:left="1702" w:firstLine="0"/>
      </w:pPr>
      <w:rPr>
        <w:rFonts w:hint="default"/>
      </w:rPr>
    </w:lvl>
    <w:lvl w:ilvl="4">
      <w:start w:val="1"/>
      <w:numFmt w:val="lowerLetter"/>
      <w:lvlText w:val="(%5)"/>
      <w:lvlJc w:val="left"/>
      <w:pPr>
        <w:ind w:left="2694" w:hanging="992"/>
      </w:pPr>
      <w:rPr>
        <w:rFonts w:hint="default"/>
      </w:rPr>
    </w:lvl>
    <w:lvl w:ilvl="5">
      <w:start w:val="1"/>
      <w:numFmt w:val="lowerRoman"/>
      <w:lvlText w:val="(%6)"/>
      <w:lvlJc w:val="left"/>
      <w:pPr>
        <w:ind w:left="2694" w:hanging="992"/>
      </w:pPr>
      <w:rPr>
        <w:rFonts w:hint="default"/>
      </w:rPr>
    </w:lvl>
    <w:lvl w:ilvl="6">
      <w:start w:val="1"/>
      <w:numFmt w:val="decimal"/>
      <w:lvlText w:val="%7."/>
      <w:lvlJc w:val="left"/>
      <w:pPr>
        <w:ind w:left="2694" w:hanging="992"/>
      </w:pPr>
      <w:rPr>
        <w:rFonts w:hint="default"/>
      </w:rPr>
    </w:lvl>
    <w:lvl w:ilvl="7">
      <w:start w:val="1"/>
      <w:numFmt w:val="lowerLetter"/>
      <w:lvlText w:val="%8."/>
      <w:lvlJc w:val="left"/>
      <w:pPr>
        <w:ind w:left="2694" w:hanging="992"/>
      </w:pPr>
      <w:rPr>
        <w:rFonts w:hint="default"/>
      </w:rPr>
    </w:lvl>
    <w:lvl w:ilvl="8">
      <w:start w:val="1"/>
      <w:numFmt w:val="lowerRoman"/>
      <w:lvlText w:val="%9."/>
      <w:lvlJc w:val="left"/>
      <w:pPr>
        <w:ind w:left="2694" w:hanging="992"/>
      </w:pPr>
      <w:rPr>
        <w:rFonts w:hint="default"/>
      </w:rPr>
    </w:lvl>
  </w:abstractNum>
  <w:abstractNum w:abstractNumId="4" w15:restartNumberingAfterBreak="0">
    <w:nsid w:val="08124B52"/>
    <w:multiLevelType w:val="multilevel"/>
    <w:tmpl w:val="70A03C60"/>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702DE0"/>
    <w:multiLevelType w:val="multilevel"/>
    <w:tmpl w:val="7C7ADC2E"/>
    <w:lvl w:ilvl="0">
      <w:start w:val="1"/>
      <w:numFmt w:val="decimal"/>
      <w:lvlText w:val="Chapter %1."/>
      <w:lvlJc w:val="left"/>
      <w:pPr>
        <w:tabs>
          <w:tab w:val="num" w:pos="2410"/>
        </w:tabs>
        <w:ind w:left="1701" w:hanging="1701"/>
      </w:pPr>
      <w:rPr>
        <w:rFonts w:hint="default"/>
      </w:rPr>
    </w:lvl>
    <w:lvl w:ilvl="1">
      <w:start w:val="1"/>
      <w:numFmt w:val="decimal"/>
      <w:lvlText w:val="%1.%2"/>
      <w:lvlJc w:val="left"/>
      <w:pPr>
        <w:tabs>
          <w:tab w:val="num" w:pos="992"/>
        </w:tabs>
        <w:ind w:left="709" w:hanging="709"/>
      </w:pPr>
      <w:rPr>
        <w:rFonts w:hint="default"/>
      </w:rPr>
    </w:lvl>
    <w:lvl w:ilvl="2">
      <w:start w:val="1"/>
      <w:numFmt w:val="decimal"/>
      <w:lvlText w:val="%1.%2.%3"/>
      <w:lvlJc w:val="left"/>
      <w:pPr>
        <w:tabs>
          <w:tab w:val="num" w:pos="992"/>
        </w:tabs>
        <w:ind w:left="709" w:hanging="709"/>
      </w:pPr>
      <w:rPr>
        <w:rFonts w:hint="default"/>
      </w:rPr>
    </w:lvl>
    <w:lvl w:ilvl="3">
      <w:start w:val="1"/>
      <w:numFmt w:val="lowerLetter"/>
      <w:pStyle w:val="ParaNum1"/>
      <w:lvlText w:val="(%4)"/>
      <w:lvlJc w:val="left"/>
      <w:pPr>
        <w:tabs>
          <w:tab w:val="num" w:pos="1276"/>
        </w:tabs>
        <w:ind w:left="1276" w:hanging="567"/>
      </w:pPr>
      <w:rPr>
        <w:rFonts w:hint="default"/>
      </w:rPr>
    </w:lvl>
    <w:lvl w:ilvl="4">
      <w:start w:val="1"/>
      <w:numFmt w:val="lowerRoman"/>
      <w:pStyle w:val="ParaNum2"/>
      <w:lvlText w:val="(%5)"/>
      <w:lvlJc w:val="left"/>
      <w:pPr>
        <w:tabs>
          <w:tab w:val="num" w:pos="1843"/>
        </w:tabs>
        <w:ind w:left="1843" w:hanging="567"/>
      </w:pPr>
      <w:rPr>
        <w:rFonts w:hint="default"/>
      </w:rPr>
    </w:lvl>
    <w:lvl w:ilvl="5">
      <w:start w:val="1"/>
      <w:numFmt w:val="upperLetter"/>
      <w:pStyle w:val="ParaNum3"/>
      <w:lvlText w:val="(%6)"/>
      <w:lvlJc w:val="left"/>
      <w:pPr>
        <w:tabs>
          <w:tab w:val="num" w:pos="2410"/>
        </w:tabs>
        <w:ind w:left="2410" w:hanging="567"/>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6"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7" w15:restartNumberingAfterBreak="0">
    <w:nsid w:val="14C63564"/>
    <w:multiLevelType w:val="multilevel"/>
    <w:tmpl w:val="F4948820"/>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4FC31CB"/>
    <w:multiLevelType w:val="multilevel"/>
    <w:tmpl w:val="1C149D7C"/>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9" w15:restartNumberingAfterBreak="0">
    <w:nsid w:val="16BA1177"/>
    <w:multiLevelType w:val="multilevel"/>
    <w:tmpl w:val="36329916"/>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11" w15:restartNumberingAfterBreak="0">
    <w:nsid w:val="1D2253F0"/>
    <w:multiLevelType w:val="multilevel"/>
    <w:tmpl w:val="047A2A70"/>
    <w:lvl w:ilvl="0">
      <w:start w:val="1"/>
      <w:numFmt w:val="decimal"/>
      <w:pStyle w:val="Heading1"/>
      <w:lvlText w:val="%1."/>
      <w:lvlJc w:val="left"/>
      <w:pPr>
        <w:tabs>
          <w:tab w:val="num" w:pos="709"/>
        </w:tabs>
        <w:ind w:left="709" w:hanging="709"/>
      </w:pPr>
      <w:rPr>
        <w:rFonts w:hint="default"/>
        <w:sz w:val="24"/>
        <w:szCs w:val="24"/>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DBA78B0"/>
    <w:multiLevelType w:val="multilevel"/>
    <w:tmpl w:val="70A03C60"/>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1043568"/>
    <w:multiLevelType w:val="multilevel"/>
    <w:tmpl w:val="70A03C60"/>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57B629F"/>
    <w:multiLevelType w:val="multilevel"/>
    <w:tmpl w:val="3DECE9F8"/>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6" w15:restartNumberingAfterBreak="0">
    <w:nsid w:val="473E5810"/>
    <w:multiLevelType w:val="hybridMultilevel"/>
    <w:tmpl w:val="6EFAF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8" w15:restartNumberingAfterBreak="0">
    <w:nsid w:val="76210F3C"/>
    <w:multiLevelType w:val="hybridMultilevel"/>
    <w:tmpl w:val="292E3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B96BFA"/>
    <w:multiLevelType w:val="multilevel"/>
    <w:tmpl w:val="5F547872"/>
    <w:lvl w:ilvl="0">
      <w:start w:val="1"/>
      <w:numFmt w:val="none"/>
      <w:pStyle w:val="ResetPara"/>
      <w:lvlText w:val=""/>
      <w:lvlJc w:val="left"/>
      <w:pPr>
        <w:ind w:left="0" w:firstLine="0"/>
      </w:pPr>
      <w:rPr>
        <w:rFonts w:hint="default"/>
      </w:rPr>
    </w:lvl>
    <w:lvl w:ilvl="1">
      <w:start w:val="1"/>
      <w:numFmt w:val="lowerLetter"/>
      <w:pStyle w:val="Lista"/>
      <w:lvlText w:val="(%2)"/>
      <w:lvlJc w:val="left"/>
      <w:pPr>
        <w:tabs>
          <w:tab w:val="num" w:pos="1276"/>
        </w:tabs>
        <w:ind w:left="1276" w:hanging="567"/>
      </w:pPr>
      <w:rPr>
        <w:rFonts w:hint="default"/>
      </w:rPr>
    </w:lvl>
    <w:lvl w:ilvl="2">
      <w:start w:val="1"/>
      <w:numFmt w:val="lowerRoman"/>
      <w:pStyle w:val="Listi"/>
      <w:lvlText w:val="(%3)"/>
      <w:lvlJc w:val="left"/>
      <w:pPr>
        <w:tabs>
          <w:tab w:val="num" w:pos="1843"/>
        </w:tabs>
        <w:ind w:left="1843" w:hanging="567"/>
      </w:pPr>
      <w:rPr>
        <w:rFonts w:hint="default"/>
      </w:rPr>
    </w:lvl>
    <w:lvl w:ilvl="3">
      <w:start w:val="1"/>
      <w:numFmt w:val="upperLetter"/>
      <w:pStyle w:val="ListA0"/>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3"/>
  </w:num>
  <w:num w:numId="3">
    <w:abstractNumId w:val="6"/>
  </w:num>
  <w:num w:numId="4">
    <w:abstractNumId w:val="2"/>
  </w:num>
  <w:num w:numId="5">
    <w:abstractNumId w:val="14"/>
  </w:num>
  <w:num w:numId="6">
    <w:abstractNumId w:val="11"/>
  </w:num>
  <w:num w:numId="7">
    <w:abstractNumId w:val="7"/>
  </w:num>
  <w:num w:numId="8">
    <w:abstractNumId w:val="15"/>
  </w:num>
  <w:num w:numId="9">
    <w:abstractNumId w:val="8"/>
  </w:num>
  <w:num w:numId="10">
    <w:abstractNumId w:val="10"/>
  </w:num>
  <w:num w:numId="11">
    <w:abstractNumId w:val="9"/>
  </w:num>
  <w:num w:numId="12">
    <w:abstractNumId w:val="19"/>
  </w:num>
  <w:num w:numId="13">
    <w:abstractNumId w:val="0"/>
  </w:num>
  <w:num w:numId="14">
    <w:abstractNumId w:val="17"/>
  </w:num>
  <w:num w:numId="15">
    <w:abstractNumId w:val="1"/>
  </w:num>
  <w:num w:numId="16">
    <w:abstractNumId w:val="4"/>
  </w:num>
  <w:num w:numId="17">
    <w:abstractNumId w:val="12"/>
  </w:num>
  <w:num w:numId="18">
    <w:abstractNumId w:val="13"/>
  </w:num>
  <w:num w:numId="19">
    <w:abstractNumId w:val="11"/>
  </w:num>
  <w:num w:numId="20">
    <w:abstractNumId w:val="18"/>
  </w:num>
  <w:num w:numId="21">
    <w:abstractNumId w:val="16"/>
  </w:num>
  <w:num w:numId="22">
    <w:abstractNumId w:val="18"/>
  </w:num>
  <w:num w:numId="23">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SpellingErrors/>
  <w:hideGrammaticalError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71C"/>
    <w:rsid w:val="00010B32"/>
    <w:rsid w:val="00022B1E"/>
    <w:rsid w:val="000238C8"/>
    <w:rsid w:val="00027BFA"/>
    <w:rsid w:val="00030B52"/>
    <w:rsid w:val="00032869"/>
    <w:rsid w:val="000412AF"/>
    <w:rsid w:val="00066795"/>
    <w:rsid w:val="00075378"/>
    <w:rsid w:val="00086C68"/>
    <w:rsid w:val="00094297"/>
    <w:rsid w:val="00094619"/>
    <w:rsid w:val="0009687F"/>
    <w:rsid w:val="000C657F"/>
    <w:rsid w:val="000D13F4"/>
    <w:rsid w:val="000D4B8A"/>
    <w:rsid w:val="000E4BD3"/>
    <w:rsid w:val="000E4F2C"/>
    <w:rsid w:val="000F03C7"/>
    <w:rsid w:val="000F4EBA"/>
    <w:rsid w:val="0010487D"/>
    <w:rsid w:val="00110BB1"/>
    <w:rsid w:val="00114C46"/>
    <w:rsid w:val="00124944"/>
    <w:rsid w:val="00125853"/>
    <w:rsid w:val="00126592"/>
    <w:rsid w:val="00137B19"/>
    <w:rsid w:val="0014086C"/>
    <w:rsid w:val="00141F40"/>
    <w:rsid w:val="00150406"/>
    <w:rsid w:val="0016241F"/>
    <w:rsid w:val="0017212A"/>
    <w:rsid w:val="001727F7"/>
    <w:rsid w:val="00192275"/>
    <w:rsid w:val="0019250F"/>
    <w:rsid w:val="001A4016"/>
    <w:rsid w:val="001A7F84"/>
    <w:rsid w:val="001B28B2"/>
    <w:rsid w:val="001E05FF"/>
    <w:rsid w:val="001F0280"/>
    <w:rsid w:val="001F785D"/>
    <w:rsid w:val="002034F1"/>
    <w:rsid w:val="00203875"/>
    <w:rsid w:val="00212F09"/>
    <w:rsid w:val="002229FB"/>
    <w:rsid w:val="002612D3"/>
    <w:rsid w:val="00267C19"/>
    <w:rsid w:val="0028199D"/>
    <w:rsid w:val="0028681D"/>
    <w:rsid w:val="002A0514"/>
    <w:rsid w:val="002A1D3A"/>
    <w:rsid w:val="002A25D8"/>
    <w:rsid w:val="002B4878"/>
    <w:rsid w:val="002C586C"/>
    <w:rsid w:val="002E1C40"/>
    <w:rsid w:val="002E7C37"/>
    <w:rsid w:val="002F4489"/>
    <w:rsid w:val="002F4590"/>
    <w:rsid w:val="002F5FF3"/>
    <w:rsid w:val="00301D42"/>
    <w:rsid w:val="00307703"/>
    <w:rsid w:val="00322C79"/>
    <w:rsid w:val="003430F8"/>
    <w:rsid w:val="00345855"/>
    <w:rsid w:val="00354207"/>
    <w:rsid w:val="003560FB"/>
    <w:rsid w:val="00360C1A"/>
    <w:rsid w:val="0036320A"/>
    <w:rsid w:val="003739D3"/>
    <w:rsid w:val="00376496"/>
    <w:rsid w:val="003852EC"/>
    <w:rsid w:val="00396E83"/>
    <w:rsid w:val="003A29E9"/>
    <w:rsid w:val="003A585A"/>
    <w:rsid w:val="003B0194"/>
    <w:rsid w:val="003B587F"/>
    <w:rsid w:val="003B7004"/>
    <w:rsid w:val="003C0568"/>
    <w:rsid w:val="003C5B63"/>
    <w:rsid w:val="003C7E63"/>
    <w:rsid w:val="003E272D"/>
    <w:rsid w:val="003E2FB9"/>
    <w:rsid w:val="003E7127"/>
    <w:rsid w:val="003F5E6B"/>
    <w:rsid w:val="003F7609"/>
    <w:rsid w:val="00415BE5"/>
    <w:rsid w:val="0043148C"/>
    <w:rsid w:val="00435600"/>
    <w:rsid w:val="00435A2E"/>
    <w:rsid w:val="004449B2"/>
    <w:rsid w:val="00454EB2"/>
    <w:rsid w:val="00455203"/>
    <w:rsid w:val="00474A60"/>
    <w:rsid w:val="0047675C"/>
    <w:rsid w:val="004771F8"/>
    <w:rsid w:val="00477D6C"/>
    <w:rsid w:val="004839BB"/>
    <w:rsid w:val="004954FD"/>
    <w:rsid w:val="00495820"/>
    <w:rsid w:val="004A1ED5"/>
    <w:rsid w:val="004A25EC"/>
    <w:rsid w:val="004B0368"/>
    <w:rsid w:val="004B236F"/>
    <w:rsid w:val="004B545A"/>
    <w:rsid w:val="004B54FF"/>
    <w:rsid w:val="004C15A7"/>
    <w:rsid w:val="004C5114"/>
    <w:rsid w:val="004D1E11"/>
    <w:rsid w:val="004D4775"/>
    <w:rsid w:val="004E3A86"/>
    <w:rsid w:val="004E512C"/>
    <w:rsid w:val="004E7294"/>
    <w:rsid w:val="004E784F"/>
    <w:rsid w:val="004F039A"/>
    <w:rsid w:val="004F4C05"/>
    <w:rsid w:val="004F5D65"/>
    <w:rsid w:val="004F76AA"/>
    <w:rsid w:val="004F7735"/>
    <w:rsid w:val="005032D6"/>
    <w:rsid w:val="00521B01"/>
    <w:rsid w:val="00522773"/>
    <w:rsid w:val="00535D3F"/>
    <w:rsid w:val="00545E21"/>
    <w:rsid w:val="005537C0"/>
    <w:rsid w:val="00570BD6"/>
    <w:rsid w:val="005860B9"/>
    <w:rsid w:val="00596146"/>
    <w:rsid w:val="00596E73"/>
    <w:rsid w:val="005A3271"/>
    <w:rsid w:val="005A34A9"/>
    <w:rsid w:val="005A6EB0"/>
    <w:rsid w:val="005C1DB1"/>
    <w:rsid w:val="005C53C0"/>
    <w:rsid w:val="005D01A2"/>
    <w:rsid w:val="005D024A"/>
    <w:rsid w:val="005D22B4"/>
    <w:rsid w:val="005D27E4"/>
    <w:rsid w:val="005F2DB6"/>
    <w:rsid w:val="005F3A83"/>
    <w:rsid w:val="00616175"/>
    <w:rsid w:val="006219FF"/>
    <w:rsid w:val="006225E2"/>
    <w:rsid w:val="00634F4A"/>
    <w:rsid w:val="00641B71"/>
    <w:rsid w:val="00656456"/>
    <w:rsid w:val="006565A5"/>
    <w:rsid w:val="00673A1C"/>
    <w:rsid w:val="00673AB4"/>
    <w:rsid w:val="006866F3"/>
    <w:rsid w:val="00696C71"/>
    <w:rsid w:val="006B1F3B"/>
    <w:rsid w:val="006B6119"/>
    <w:rsid w:val="006C13DF"/>
    <w:rsid w:val="006D08F1"/>
    <w:rsid w:val="006F116B"/>
    <w:rsid w:val="007077A4"/>
    <w:rsid w:val="00710277"/>
    <w:rsid w:val="00714B2A"/>
    <w:rsid w:val="00714DD5"/>
    <w:rsid w:val="00721521"/>
    <w:rsid w:val="00726E5D"/>
    <w:rsid w:val="00734044"/>
    <w:rsid w:val="00742F19"/>
    <w:rsid w:val="0074578A"/>
    <w:rsid w:val="00747E0D"/>
    <w:rsid w:val="00752A4D"/>
    <w:rsid w:val="00765CBB"/>
    <w:rsid w:val="007B1F30"/>
    <w:rsid w:val="007C0DA9"/>
    <w:rsid w:val="007C3594"/>
    <w:rsid w:val="007D61D8"/>
    <w:rsid w:val="007D6D25"/>
    <w:rsid w:val="007E12DE"/>
    <w:rsid w:val="007E790B"/>
    <w:rsid w:val="0080061D"/>
    <w:rsid w:val="00813A65"/>
    <w:rsid w:val="00816ADF"/>
    <w:rsid w:val="00824435"/>
    <w:rsid w:val="0083505D"/>
    <w:rsid w:val="00841DD8"/>
    <w:rsid w:val="00846111"/>
    <w:rsid w:val="0084797F"/>
    <w:rsid w:val="00851438"/>
    <w:rsid w:val="00861CFF"/>
    <w:rsid w:val="00864940"/>
    <w:rsid w:val="008714B3"/>
    <w:rsid w:val="00871831"/>
    <w:rsid w:val="0088148D"/>
    <w:rsid w:val="00884FDA"/>
    <w:rsid w:val="00893A95"/>
    <w:rsid w:val="00896804"/>
    <w:rsid w:val="008B2DB1"/>
    <w:rsid w:val="008B3252"/>
    <w:rsid w:val="008B541A"/>
    <w:rsid w:val="008B5E6E"/>
    <w:rsid w:val="008B7589"/>
    <w:rsid w:val="008C156D"/>
    <w:rsid w:val="008E53BD"/>
    <w:rsid w:val="008E59B7"/>
    <w:rsid w:val="008E6567"/>
    <w:rsid w:val="008E7CB8"/>
    <w:rsid w:val="008F2864"/>
    <w:rsid w:val="00921F00"/>
    <w:rsid w:val="00927CE5"/>
    <w:rsid w:val="00937C32"/>
    <w:rsid w:val="00945C64"/>
    <w:rsid w:val="00945D09"/>
    <w:rsid w:val="009611A6"/>
    <w:rsid w:val="009614EA"/>
    <w:rsid w:val="00962609"/>
    <w:rsid w:val="00970794"/>
    <w:rsid w:val="00972A79"/>
    <w:rsid w:val="00991D77"/>
    <w:rsid w:val="00992A0E"/>
    <w:rsid w:val="009B2D96"/>
    <w:rsid w:val="009D5B13"/>
    <w:rsid w:val="009D71F2"/>
    <w:rsid w:val="009F6F2E"/>
    <w:rsid w:val="009F7908"/>
    <w:rsid w:val="00A00181"/>
    <w:rsid w:val="00A005E5"/>
    <w:rsid w:val="00A22DD7"/>
    <w:rsid w:val="00A24E9A"/>
    <w:rsid w:val="00A341F0"/>
    <w:rsid w:val="00A40A5F"/>
    <w:rsid w:val="00A50648"/>
    <w:rsid w:val="00A55039"/>
    <w:rsid w:val="00A55118"/>
    <w:rsid w:val="00A914AD"/>
    <w:rsid w:val="00A94A67"/>
    <w:rsid w:val="00AA1F1E"/>
    <w:rsid w:val="00AA4297"/>
    <w:rsid w:val="00AA6BE7"/>
    <w:rsid w:val="00AC0360"/>
    <w:rsid w:val="00AC67A3"/>
    <w:rsid w:val="00AD2617"/>
    <w:rsid w:val="00AE02FD"/>
    <w:rsid w:val="00AE2DEB"/>
    <w:rsid w:val="00AF0282"/>
    <w:rsid w:val="00AF1660"/>
    <w:rsid w:val="00AF6931"/>
    <w:rsid w:val="00B025EB"/>
    <w:rsid w:val="00B109A1"/>
    <w:rsid w:val="00B32145"/>
    <w:rsid w:val="00B33DE4"/>
    <w:rsid w:val="00B55C73"/>
    <w:rsid w:val="00B603A4"/>
    <w:rsid w:val="00B64DD8"/>
    <w:rsid w:val="00B876BA"/>
    <w:rsid w:val="00B87C76"/>
    <w:rsid w:val="00B96702"/>
    <w:rsid w:val="00B97A02"/>
    <w:rsid w:val="00BA4F45"/>
    <w:rsid w:val="00BA5D5C"/>
    <w:rsid w:val="00BA5DA4"/>
    <w:rsid w:val="00BA7257"/>
    <w:rsid w:val="00BA7909"/>
    <w:rsid w:val="00BB4940"/>
    <w:rsid w:val="00BC0B11"/>
    <w:rsid w:val="00BC3443"/>
    <w:rsid w:val="00BC3A8F"/>
    <w:rsid w:val="00BD6C4C"/>
    <w:rsid w:val="00BE1857"/>
    <w:rsid w:val="00BF5024"/>
    <w:rsid w:val="00BF6714"/>
    <w:rsid w:val="00BF7192"/>
    <w:rsid w:val="00C003D9"/>
    <w:rsid w:val="00C033A8"/>
    <w:rsid w:val="00C066AB"/>
    <w:rsid w:val="00C0787F"/>
    <w:rsid w:val="00C1110F"/>
    <w:rsid w:val="00C1288E"/>
    <w:rsid w:val="00C402B0"/>
    <w:rsid w:val="00C40E22"/>
    <w:rsid w:val="00C422A6"/>
    <w:rsid w:val="00C63930"/>
    <w:rsid w:val="00C63C58"/>
    <w:rsid w:val="00C735FA"/>
    <w:rsid w:val="00C73DEA"/>
    <w:rsid w:val="00C87427"/>
    <w:rsid w:val="00C93ECD"/>
    <w:rsid w:val="00CA3FD2"/>
    <w:rsid w:val="00CB648E"/>
    <w:rsid w:val="00CC7137"/>
    <w:rsid w:val="00CD76ED"/>
    <w:rsid w:val="00CE48CB"/>
    <w:rsid w:val="00CF0E59"/>
    <w:rsid w:val="00CF287F"/>
    <w:rsid w:val="00D074D4"/>
    <w:rsid w:val="00D07ED3"/>
    <w:rsid w:val="00D327A6"/>
    <w:rsid w:val="00D33DF7"/>
    <w:rsid w:val="00D346A5"/>
    <w:rsid w:val="00D43FD9"/>
    <w:rsid w:val="00D455DB"/>
    <w:rsid w:val="00D521CB"/>
    <w:rsid w:val="00D5452F"/>
    <w:rsid w:val="00D65556"/>
    <w:rsid w:val="00D835E3"/>
    <w:rsid w:val="00D97DCB"/>
    <w:rsid w:val="00DA1FB4"/>
    <w:rsid w:val="00DA393D"/>
    <w:rsid w:val="00DB0547"/>
    <w:rsid w:val="00DB071C"/>
    <w:rsid w:val="00DD29F2"/>
    <w:rsid w:val="00DE171F"/>
    <w:rsid w:val="00DF0204"/>
    <w:rsid w:val="00DF2D62"/>
    <w:rsid w:val="00DF7E48"/>
    <w:rsid w:val="00E030BC"/>
    <w:rsid w:val="00E07481"/>
    <w:rsid w:val="00E17A6D"/>
    <w:rsid w:val="00E221FE"/>
    <w:rsid w:val="00E25C36"/>
    <w:rsid w:val="00E26F0C"/>
    <w:rsid w:val="00E34C54"/>
    <w:rsid w:val="00E373BA"/>
    <w:rsid w:val="00E43CDB"/>
    <w:rsid w:val="00E450C6"/>
    <w:rsid w:val="00E46635"/>
    <w:rsid w:val="00E73768"/>
    <w:rsid w:val="00E85C7E"/>
    <w:rsid w:val="00E93FF1"/>
    <w:rsid w:val="00E954C9"/>
    <w:rsid w:val="00E97423"/>
    <w:rsid w:val="00EB52C0"/>
    <w:rsid w:val="00EB615E"/>
    <w:rsid w:val="00EC32AE"/>
    <w:rsid w:val="00EC3844"/>
    <w:rsid w:val="00EC40FB"/>
    <w:rsid w:val="00EC675A"/>
    <w:rsid w:val="00ED6CB9"/>
    <w:rsid w:val="00EE021C"/>
    <w:rsid w:val="00EE1633"/>
    <w:rsid w:val="00EF434F"/>
    <w:rsid w:val="00F029DB"/>
    <w:rsid w:val="00F03389"/>
    <w:rsid w:val="00F033FA"/>
    <w:rsid w:val="00F14F78"/>
    <w:rsid w:val="00F1607D"/>
    <w:rsid w:val="00F17A8F"/>
    <w:rsid w:val="00F32421"/>
    <w:rsid w:val="00F36CDD"/>
    <w:rsid w:val="00F37294"/>
    <w:rsid w:val="00F40B6B"/>
    <w:rsid w:val="00F51305"/>
    <w:rsid w:val="00F52006"/>
    <w:rsid w:val="00F70147"/>
    <w:rsid w:val="00F841C9"/>
    <w:rsid w:val="00F8565E"/>
    <w:rsid w:val="00F93370"/>
    <w:rsid w:val="00F93B79"/>
    <w:rsid w:val="00F96832"/>
    <w:rsid w:val="00FA04F0"/>
    <w:rsid w:val="00FA1FC5"/>
    <w:rsid w:val="00FB7B8A"/>
    <w:rsid w:val="00FC3120"/>
    <w:rsid w:val="00FF73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22284"/>
  <w15:docId w15:val="{C9EA4C12-F159-4D1F-9DA1-3F9A83203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6"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5"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19250F"/>
    <w:pPr>
      <w:spacing w:after="240" w:line="300" w:lineRule="auto"/>
      <w:jc w:val="both"/>
    </w:pPr>
    <w:rPr>
      <w:rFonts w:ascii="Arial" w:eastAsia="Calibri" w:hAnsi="Arial" w:cs="Times New Roman"/>
      <w:sz w:val="20"/>
      <w:szCs w:val="24"/>
    </w:rPr>
  </w:style>
  <w:style w:type="paragraph" w:styleId="Heading1">
    <w:name w:val="heading 1"/>
    <w:next w:val="ResetPara"/>
    <w:link w:val="Heading1Char"/>
    <w:uiPriority w:val="6"/>
    <w:qFormat/>
    <w:rsid w:val="006B6119"/>
    <w:pPr>
      <w:keepNext/>
      <w:keepLines/>
      <w:numPr>
        <w:numId w:val="6"/>
      </w:numPr>
      <w:spacing w:before="240" w:after="40"/>
      <w:outlineLvl w:val="0"/>
    </w:pPr>
    <w:rPr>
      <w:rFonts w:asciiTheme="majorHAnsi" w:eastAsiaTheme="majorEastAsia" w:hAnsiTheme="majorHAnsi" w:cstheme="majorBidi"/>
      <w:b/>
      <w:caps/>
      <w:color w:val="1E4164" w:themeColor="accent6"/>
      <w:sz w:val="24"/>
      <w:szCs w:val="32"/>
    </w:rPr>
  </w:style>
  <w:style w:type="paragraph" w:styleId="Heading2">
    <w:name w:val="heading 2"/>
    <w:next w:val="ResetPara"/>
    <w:link w:val="Heading2Char"/>
    <w:uiPriority w:val="6"/>
    <w:unhideWhenUsed/>
    <w:qFormat/>
    <w:rsid w:val="006B6119"/>
    <w:pPr>
      <w:keepNext/>
      <w:keepLines/>
      <w:numPr>
        <w:ilvl w:val="1"/>
        <w:numId w:val="6"/>
      </w:numPr>
      <w:spacing w:before="240" w:after="40"/>
      <w:outlineLvl w:val="1"/>
    </w:pPr>
    <w:rPr>
      <w:rFonts w:asciiTheme="majorHAnsi" w:eastAsiaTheme="majorEastAsia" w:hAnsiTheme="majorHAnsi" w:cstheme="majorBidi"/>
      <w:b/>
      <w:color w:val="1E4164" w:themeColor="accent6"/>
      <w:sz w:val="24"/>
      <w:szCs w:val="26"/>
    </w:rPr>
  </w:style>
  <w:style w:type="paragraph" w:styleId="Heading3">
    <w:name w:val="heading 3"/>
    <w:next w:val="ResetPara"/>
    <w:link w:val="Heading3Char"/>
    <w:uiPriority w:val="6"/>
    <w:unhideWhenUsed/>
    <w:qFormat/>
    <w:rsid w:val="006B6119"/>
    <w:pPr>
      <w:keepNext/>
      <w:keepLines/>
      <w:numPr>
        <w:ilvl w:val="2"/>
        <w:numId w:val="6"/>
      </w:numPr>
      <w:spacing w:before="240" w:after="40"/>
      <w:outlineLvl w:val="2"/>
    </w:pPr>
    <w:rPr>
      <w:rFonts w:asciiTheme="majorHAnsi" w:eastAsiaTheme="majorEastAsia" w:hAnsiTheme="majorHAnsi" w:cstheme="majorBidi"/>
      <w:b/>
      <w:color w:val="1E4164" w:themeColor="accent6"/>
      <w:sz w:val="20"/>
      <w:szCs w:val="24"/>
    </w:rPr>
  </w:style>
  <w:style w:type="paragraph" w:styleId="Heading4">
    <w:name w:val="heading 4"/>
    <w:next w:val="ResetPara"/>
    <w:link w:val="Heading4Char"/>
    <w:uiPriority w:val="6"/>
    <w:qFormat/>
    <w:rsid w:val="00AC67A3"/>
    <w:pPr>
      <w:keepNext/>
      <w:keepLines/>
      <w:spacing w:before="240" w:after="60" w:line="264" w:lineRule="auto"/>
      <w:outlineLvl w:val="3"/>
    </w:pPr>
    <w:rPr>
      <w:rFonts w:asciiTheme="majorHAnsi" w:eastAsiaTheme="majorEastAsia" w:hAnsiTheme="majorHAnsi" w:cstheme="majorBidi"/>
      <w:b/>
      <w:bCs/>
      <w:iCs/>
      <w:color w:val="000000" w:themeColor="text1"/>
      <w:sz w:val="20"/>
      <w:szCs w:val="24"/>
    </w:rPr>
  </w:style>
  <w:style w:type="paragraph" w:styleId="Heading5">
    <w:name w:val="heading 5"/>
    <w:basedOn w:val="Normal"/>
    <w:next w:val="BodyText"/>
    <w:link w:val="Heading5Char"/>
    <w:uiPriority w:val="6"/>
    <w:rsid w:val="006B6119"/>
    <w:pPr>
      <w:keepNext/>
      <w:keepLines/>
      <w:spacing w:before="240" w:after="60" w:line="264"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6B6119"/>
    <w:pPr>
      <w:keepNext/>
      <w:keepLines/>
      <w:numPr>
        <w:ilvl w:val="5"/>
        <w:numId w:val="7"/>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6B6119"/>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rsid w:val="006B6119"/>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rsid w:val="006B6119"/>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250F"/>
    <w:pPr>
      <w:tabs>
        <w:tab w:val="left" w:pos="896"/>
      </w:tabs>
      <w:spacing w:after="0" w:line="240" w:lineRule="auto"/>
      <w:ind w:right="1671"/>
      <w:jc w:val="left"/>
    </w:pPr>
    <w:rPr>
      <w:bCs/>
      <w:caps/>
      <w:noProof/>
      <w:color w:val="194164"/>
      <w:sz w:val="16"/>
      <w:lang w:eastAsia="en-AU"/>
    </w:rPr>
  </w:style>
  <w:style w:type="character" w:customStyle="1" w:styleId="HeaderChar">
    <w:name w:val="Header Char"/>
    <w:basedOn w:val="DefaultParagraphFont"/>
    <w:link w:val="Header"/>
    <w:uiPriority w:val="99"/>
    <w:rsid w:val="0019250F"/>
    <w:rPr>
      <w:rFonts w:ascii="Arial" w:eastAsia="Calibri" w:hAnsi="Arial" w:cs="Times New Roman"/>
      <w:bCs/>
      <w:caps/>
      <w:noProof/>
      <w:color w:val="194164"/>
      <w:sz w:val="16"/>
      <w:szCs w:val="24"/>
      <w:lang w:eastAsia="en-AU"/>
    </w:rPr>
  </w:style>
  <w:style w:type="paragraph" w:styleId="Footer">
    <w:name w:val="footer"/>
    <w:basedOn w:val="Normal"/>
    <w:link w:val="FooterChar"/>
    <w:uiPriority w:val="99"/>
    <w:rsid w:val="0019250F"/>
    <w:pPr>
      <w:tabs>
        <w:tab w:val="right" w:pos="8239"/>
        <w:tab w:val="right" w:pos="9185"/>
      </w:tabs>
      <w:spacing w:after="0" w:line="240" w:lineRule="auto"/>
      <w:jc w:val="left"/>
    </w:pPr>
    <w:rPr>
      <w:color w:val="1E4164" w:themeColor="accent6"/>
      <w:sz w:val="16"/>
    </w:rPr>
  </w:style>
  <w:style w:type="character" w:customStyle="1" w:styleId="FooterChar">
    <w:name w:val="Footer Char"/>
    <w:basedOn w:val="DefaultParagraphFont"/>
    <w:link w:val="Footer"/>
    <w:uiPriority w:val="99"/>
    <w:rsid w:val="0019250F"/>
    <w:rPr>
      <w:rFonts w:ascii="Arial" w:eastAsia="Calibri" w:hAnsi="Arial" w:cs="Times New Roman"/>
      <w:color w:val="1E4164" w:themeColor="accent6"/>
      <w:sz w:val="16"/>
      <w:szCs w:val="24"/>
    </w:rPr>
  </w:style>
  <w:style w:type="character" w:customStyle="1" w:styleId="Heading1Char">
    <w:name w:val="Heading 1 Char"/>
    <w:basedOn w:val="DefaultParagraphFont"/>
    <w:link w:val="Heading1"/>
    <w:uiPriority w:val="6"/>
    <w:rsid w:val="006B6119"/>
    <w:rPr>
      <w:rFonts w:asciiTheme="majorHAnsi" w:eastAsiaTheme="majorEastAsia" w:hAnsiTheme="majorHAnsi" w:cstheme="majorBidi"/>
      <w:b/>
      <w:caps/>
      <w:color w:val="1E4164" w:themeColor="accent6"/>
      <w:sz w:val="24"/>
      <w:szCs w:val="32"/>
    </w:rPr>
  </w:style>
  <w:style w:type="paragraph" w:styleId="BodyText">
    <w:name w:val="Body Text"/>
    <w:basedOn w:val="Normal"/>
    <w:link w:val="BodyTextChar"/>
    <w:qFormat/>
    <w:rsid w:val="006B6119"/>
    <w:pPr>
      <w:spacing w:after="120" w:line="240" w:lineRule="auto"/>
      <w:jc w:val="left"/>
    </w:pPr>
    <w:rPr>
      <w:rFonts w:asciiTheme="minorHAnsi" w:eastAsiaTheme="minorHAnsi" w:hAnsiTheme="minorHAnsi" w:cstheme="minorBidi"/>
      <w:szCs w:val="22"/>
    </w:rPr>
  </w:style>
  <w:style w:type="character" w:customStyle="1" w:styleId="BodyTextChar">
    <w:name w:val="Body Text Char"/>
    <w:basedOn w:val="DefaultParagraphFont"/>
    <w:link w:val="BodyText"/>
    <w:rsid w:val="006B6119"/>
    <w:rPr>
      <w:sz w:val="20"/>
    </w:rPr>
  </w:style>
  <w:style w:type="paragraph" w:customStyle="1" w:styleId="AppendixHeading1">
    <w:name w:val="Appendix Heading 1"/>
    <w:basedOn w:val="Heading1"/>
    <w:next w:val="ResetPara"/>
    <w:uiPriority w:val="99"/>
    <w:qFormat/>
    <w:rsid w:val="00E450C6"/>
    <w:pPr>
      <w:pageBreakBefore/>
      <w:numPr>
        <w:numId w:val="2"/>
      </w:numPr>
      <w:tabs>
        <w:tab w:val="left" w:pos="1710"/>
      </w:tabs>
    </w:pPr>
  </w:style>
  <w:style w:type="character" w:customStyle="1" w:styleId="Heading2Char">
    <w:name w:val="Heading 2 Char"/>
    <w:basedOn w:val="DefaultParagraphFont"/>
    <w:link w:val="Heading2"/>
    <w:uiPriority w:val="6"/>
    <w:rsid w:val="006B6119"/>
    <w:rPr>
      <w:rFonts w:asciiTheme="majorHAnsi" w:eastAsiaTheme="majorEastAsia" w:hAnsiTheme="majorHAnsi" w:cstheme="majorBidi"/>
      <w:b/>
      <w:color w:val="1E4164" w:themeColor="accent6"/>
      <w:sz w:val="24"/>
      <w:szCs w:val="26"/>
    </w:rPr>
  </w:style>
  <w:style w:type="paragraph" w:customStyle="1" w:styleId="AppendixHeading2">
    <w:name w:val="Appendix Heading 2"/>
    <w:basedOn w:val="Heading2"/>
    <w:next w:val="ResetPara"/>
    <w:uiPriority w:val="99"/>
    <w:qFormat/>
    <w:rsid w:val="006B6119"/>
    <w:pPr>
      <w:numPr>
        <w:numId w:val="2"/>
      </w:numPr>
    </w:pPr>
    <w:rPr>
      <w:noProof/>
      <w:lang w:eastAsia="en-AU"/>
    </w:rPr>
  </w:style>
  <w:style w:type="character" w:customStyle="1" w:styleId="Heading3Char">
    <w:name w:val="Heading 3 Char"/>
    <w:basedOn w:val="DefaultParagraphFont"/>
    <w:link w:val="Heading3"/>
    <w:uiPriority w:val="6"/>
    <w:rsid w:val="006B6119"/>
    <w:rPr>
      <w:rFonts w:asciiTheme="majorHAnsi" w:eastAsiaTheme="majorEastAsia" w:hAnsiTheme="majorHAnsi" w:cstheme="majorBidi"/>
      <w:b/>
      <w:color w:val="1E4164" w:themeColor="accent6"/>
      <w:sz w:val="20"/>
      <w:szCs w:val="24"/>
    </w:rPr>
  </w:style>
  <w:style w:type="paragraph" w:customStyle="1" w:styleId="AppendixHeading3">
    <w:name w:val="Appendix Heading 3"/>
    <w:basedOn w:val="Normal"/>
    <w:next w:val="ResetPara"/>
    <w:uiPriority w:val="99"/>
    <w:qFormat/>
    <w:rsid w:val="006B6119"/>
    <w:pPr>
      <w:keepNext/>
      <w:keepLines/>
      <w:numPr>
        <w:ilvl w:val="2"/>
        <w:numId w:val="2"/>
      </w:numPr>
      <w:spacing w:before="240" w:after="60" w:line="264" w:lineRule="auto"/>
      <w:jc w:val="left"/>
      <w:outlineLvl w:val="2"/>
    </w:pPr>
    <w:rPr>
      <w:rFonts w:asciiTheme="majorHAnsi" w:eastAsiaTheme="majorEastAsia" w:hAnsiTheme="majorHAnsi" w:cstheme="majorBidi"/>
      <w:b/>
      <w:bCs/>
      <w:color w:val="1E4164" w:themeColor="accent6"/>
      <w:sz w:val="22"/>
    </w:rPr>
  </w:style>
  <w:style w:type="character" w:customStyle="1" w:styleId="Heading4Char">
    <w:name w:val="Heading 4 Char"/>
    <w:basedOn w:val="DefaultParagraphFont"/>
    <w:link w:val="Heading4"/>
    <w:uiPriority w:val="6"/>
    <w:rsid w:val="00AC67A3"/>
    <w:rPr>
      <w:rFonts w:asciiTheme="majorHAnsi" w:eastAsiaTheme="majorEastAsia" w:hAnsiTheme="majorHAnsi" w:cstheme="majorBidi"/>
      <w:b/>
      <w:bCs/>
      <w:iCs/>
      <w:color w:val="000000" w:themeColor="text1"/>
      <w:sz w:val="20"/>
      <w:szCs w:val="24"/>
    </w:rPr>
  </w:style>
  <w:style w:type="numbering" w:customStyle="1" w:styleId="AppendixList">
    <w:name w:val="Appendix List"/>
    <w:uiPriority w:val="99"/>
    <w:rsid w:val="006B6119"/>
  </w:style>
  <w:style w:type="paragraph" w:customStyle="1" w:styleId="CaptionTable">
    <w:name w:val="Caption Table"/>
    <w:basedOn w:val="Caption"/>
    <w:next w:val="BodyText"/>
    <w:uiPriority w:val="7"/>
    <w:qFormat/>
    <w:rsid w:val="006B6119"/>
    <w:pPr>
      <w:numPr>
        <w:numId w:val="5"/>
      </w:numPr>
      <w:spacing w:after="60" w:line="264" w:lineRule="auto"/>
      <w:jc w:val="left"/>
    </w:pPr>
  </w:style>
  <w:style w:type="paragraph" w:customStyle="1" w:styleId="CaptionFigure">
    <w:name w:val="Caption Figure"/>
    <w:basedOn w:val="Caption"/>
    <w:next w:val="Figure"/>
    <w:uiPriority w:val="7"/>
    <w:qFormat/>
    <w:rsid w:val="006B6119"/>
    <w:pPr>
      <w:numPr>
        <w:numId w:val="4"/>
      </w:numPr>
      <w:spacing w:after="60" w:line="264" w:lineRule="auto"/>
      <w:jc w:val="left"/>
    </w:pPr>
  </w:style>
  <w:style w:type="table" w:styleId="TableGrid">
    <w:name w:val="Table Grid"/>
    <w:aliases w:val="AEMO"/>
    <w:basedOn w:val="TableNormal"/>
    <w:uiPriority w:val="1"/>
    <w:rsid w:val="006B6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6B6119"/>
    <w:pPr>
      <w:numPr>
        <w:numId w:val="3"/>
      </w:numPr>
    </w:pPr>
  </w:style>
  <w:style w:type="paragraph" w:styleId="BalloonText">
    <w:name w:val="Balloon Text"/>
    <w:basedOn w:val="Normal"/>
    <w:link w:val="BalloonTextChar"/>
    <w:uiPriority w:val="99"/>
    <w:semiHidden/>
    <w:unhideWhenUsed/>
    <w:rsid w:val="006B6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119"/>
    <w:rPr>
      <w:rFonts w:ascii="Tahoma" w:eastAsia="Calibri" w:hAnsi="Tahoma" w:cs="Tahoma"/>
      <w:sz w:val="16"/>
      <w:szCs w:val="16"/>
    </w:rPr>
  </w:style>
  <w:style w:type="paragraph" w:styleId="Bibliography">
    <w:name w:val="Bibliography"/>
    <w:basedOn w:val="Normal"/>
    <w:next w:val="Normal"/>
    <w:uiPriority w:val="37"/>
    <w:semiHidden/>
    <w:unhideWhenUsed/>
    <w:rsid w:val="006B6119"/>
  </w:style>
  <w:style w:type="paragraph" w:styleId="BlockText">
    <w:name w:val="Block Text"/>
    <w:basedOn w:val="Normal"/>
    <w:uiPriority w:val="3"/>
    <w:semiHidden/>
    <w:unhideWhenUsed/>
    <w:qFormat/>
    <w:rsid w:val="006B6119"/>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6B6119"/>
    <w:pPr>
      <w:spacing w:after="120" w:line="480" w:lineRule="auto"/>
    </w:pPr>
  </w:style>
  <w:style w:type="character" w:customStyle="1" w:styleId="BodyText2Char">
    <w:name w:val="Body Text 2 Char"/>
    <w:basedOn w:val="DefaultParagraphFont"/>
    <w:link w:val="BodyText2"/>
    <w:uiPriority w:val="99"/>
    <w:semiHidden/>
    <w:rsid w:val="006B6119"/>
    <w:rPr>
      <w:rFonts w:ascii="Arial" w:eastAsia="Calibri" w:hAnsi="Arial" w:cs="Times New Roman"/>
      <w:sz w:val="20"/>
      <w:szCs w:val="24"/>
    </w:rPr>
  </w:style>
  <w:style w:type="paragraph" w:styleId="BodyText3">
    <w:name w:val="Body Text 3"/>
    <w:basedOn w:val="Normal"/>
    <w:link w:val="BodyText3Char"/>
    <w:uiPriority w:val="99"/>
    <w:semiHidden/>
    <w:rsid w:val="006B6119"/>
    <w:pPr>
      <w:spacing w:after="120"/>
    </w:pPr>
    <w:rPr>
      <w:sz w:val="16"/>
      <w:szCs w:val="16"/>
    </w:rPr>
  </w:style>
  <w:style w:type="character" w:customStyle="1" w:styleId="BodyText3Char">
    <w:name w:val="Body Text 3 Char"/>
    <w:basedOn w:val="DefaultParagraphFont"/>
    <w:link w:val="BodyText3"/>
    <w:uiPriority w:val="99"/>
    <w:semiHidden/>
    <w:rsid w:val="006B6119"/>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6B6119"/>
    <w:pPr>
      <w:ind w:firstLine="425"/>
    </w:pPr>
  </w:style>
  <w:style w:type="character" w:customStyle="1" w:styleId="BodyTextFirstIndentChar">
    <w:name w:val="Body Text First Indent Char"/>
    <w:basedOn w:val="BodyTextChar"/>
    <w:link w:val="BodyTextFirstIndent"/>
    <w:uiPriority w:val="99"/>
    <w:semiHidden/>
    <w:rsid w:val="006B6119"/>
    <w:rPr>
      <w:sz w:val="20"/>
    </w:rPr>
  </w:style>
  <w:style w:type="paragraph" w:styleId="BodyTextIndent">
    <w:name w:val="Body Text Indent"/>
    <w:basedOn w:val="Normal"/>
    <w:link w:val="BodyTextIndentChar"/>
    <w:uiPriority w:val="99"/>
    <w:semiHidden/>
    <w:unhideWhenUsed/>
    <w:rsid w:val="006B6119"/>
    <w:pPr>
      <w:spacing w:after="120"/>
      <w:ind w:left="283"/>
    </w:pPr>
  </w:style>
  <w:style w:type="character" w:customStyle="1" w:styleId="BodyTextIndentChar">
    <w:name w:val="Body Text Indent Char"/>
    <w:basedOn w:val="DefaultParagraphFont"/>
    <w:link w:val="BodyTextIndent"/>
    <w:uiPriority w:val="99"/>
    <w:semiHidden/>
    <w:rsid w:val="006B6119"/>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6B6119"/>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B6119"/>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6B6119"/>
    <w:pPr>
      <w:spacing w:after="120" w:line="480" w:lineRule="auto"/>
      <w:ind w:left="283"/>
    </w:pPr>
  </w:style>
  <w:style w:type="character" w:customStyle="1" w:styleId="BodyTextIndent2Char">
    <w:name w:val="Body Text Indent 2 Char"/>
    <w:basedOn w:val="DefaultParagraphFont"/>
    <w:link w:val="BodyTextIndent2"/>
    <w:uiPriority w:val="99"/>
    <w:semiHidden/>
    <w:rsid w:val="006B6119"/>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6B611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B6119"/>
    <w:rPr>
      <w:rFonts w:ascii="Arial" w:eastAsia="Calibri" w:hAnsi="Arial" w:cs="Times New Roman"/>
      <w:sz w:val="16"/>
      <w:szCs w:val="16"/>
    </w:rPr>
  </w:style>
  <w:style w:type="paragraph" w:customStyle="1" w:styleId="BodyTextSummary">
    <w:name w:val="Body Text Summary"/>
    <w:basedOn w:val="BodyText"/>
    <w:semiHidden/>
    <w:rsid w:val="006B6119"/>
    <w:pPr>
      <w:spacing w:line="300" w:lineRule="auto"/>
    </w:pPr>
    <w:rPr>
      <w:rFonts w:cstheme="minorHAnsi"/>
      <w:color w:val="F47321"/>
      <w:sz w:val="24"/>
    </w:rPr>
  </w:style>
  <w:style w:type="paragraph" w:styleId="Caption">
    <w:name w:val="caption"/>
    <w:basedOn w:val="Normal"/>
    <w:next w:val="Normal"/>
    <w:semiHidden/>
    <w:qFormat/>
    <w:rsid w:val="006B6119"/>
    <w:pPr>
      <w:keepNext/>
      <w:spacing w:before="240" w:after="40" w:line="240" w:lineRule="auto"/>
    </w:pPr>
    <w:rPr>
      <w:b/>
      <w:bCs/>
      <w:sz w:val="18"/>
      <w:szCs w:val="18"/>
    </w:rPr>
  </w:style>
  <w:style w:type="paragraph" w:styleId="Closing">
    <w:name w:val="Closing"/>
    <w:basedOn w:val="Normal"/>
    <w:link w:val="ClosingChar"/>
    <w:uiPriority w:val="99"/>
    <w:semiHidden/>
    <w:unhideWhenUsed/>
    <w:rsid w:val="006B6119"/>
    <w:pPr>
      <w:spacing w:after="0" w:line="240" w:lineRule="auto"/>
      <w:ind w:left="4252"/>
    </w:pPr>
  </w:style>
  <w:style w:type="character" w:customStyle="1" w:styleId="ClosingChar">
    <w:name w:val="Closing Char"/>
    <w:basedOn w:val="DefaultParagraphFont"/>
    <w:link w:val="Closing"/>
    <w:uiPriority w:val="99"/>
    <w:semiHidden/>
    <w:rsid w:val="006B6119"/>
    <w:rPr>
      <w:rFonts w:ascii="Arial" w:eastAsia="Calibri" w:hAnsi="Arial" w:cs="Times New Roman"/>
      <w:sz w:val="20"/>
      <w:szCs w:val="24"/>
    </w:rPr>
  </w:style>
  <w:style w:type="paragraph" w:styleId="CommentText">
    <w:name w:val="annotation text"/>
    <w:basedOn w:val="Normal"/>
    <w:link w:val="CommentTextChar"/>
    <w:uiPriority w:val="99"/>
    <w:unhideWhenUsed/>
    <w:rsid w:val="006B6119"/>
    <w:pPr>
      <w:spacing w:line="240" w:lineRule="auto"/>
    </w:pPr>
    <w:rPr>
      <w:szCs w:val="20"/>
    </w:rPr>
  </w:style>
  <w:style w:type="character" w:customStyle="1" w:styleId="CommentTextChar">
    <w:name w:val="Comment Text Char"/>
    <w:basedOn w:val="DefaultParagraphFont"/>
    <w:link w:val="CommentText"/>
    <w:uiPriority w:val="99"/>
    <w:rsid w:val="006B6119"/>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6B6119"/>
    <w:rPr>
      <w:b/>
      <w:bCs/>
    </w:rPr>
  </w:style>
  <w:style w:type="character" w:customStyle="1" w:styleId="CommentSubjectChar">
    <w:name w:val="Comment Subject Char"/>
    <w:basedOn w:val="CommentTextChar"/>
    <w:link w:val="CommentSubject"/>
    <w:uiPriority w:val="99"/>
    <w:semiHidden/>
    <w:rsid w:val="006B6119"/>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6B6119"/>
  </w:style>
  <w:style w:type="character" w:customStyle="1" w:styleId="DateChar">
    <w:name w:val="Date Char"/>
    <w:basedOn w:val="DefaultParagraphFont"/>
    <w:link w:val="Date"/>
    <w:uiPriority w:val="99"/>
    <w:semiHidden/>
    <w:rsid w:val="006B6119"/>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6B611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B6119"/>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6B6119"/>
    <w:pPr>
      <w:spacing w:after="0" w:line="240" w:lineRule="auto"/>
    </w:pPr>
  </w:style>
  <w:style w:type="character" w:customStyle="1" w:styleId="E-mailSignatureChar">
    <w:name w:val="E-mail Signature Char"/>
    <w:basedOn w:val="DefaultParagraphFont"/>
    <w:link w:val="E-mailSignature"/>
    <w:uiPriority w:val="99"/>
    <w:semiHidden/>
    <w:rsid w:val="006B6119"/>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6B6119"/>
    <w:pPr>
      <w:spacing w:after="0" w:line="240" w:lineRule="auto"/>
    </w:pPr>
    <w:rPr>
      <w:szCs w:val="20"/>
    </w:rPr>
  </w:style>
  <w:style w:type="character" w:customStyle="1" w:styleId="EndnoteTextChar">
    <w:name w:val="Endnote Text Char"/>
    <w:basedOn w:val="DefaultParagraphFont"/>
    <w:link w:val="EndnoteText"/>
    <w:uiPriority w:val="99"/>
    <w:semiHidden/>
    <w:rsid w:val="006B6119"/>
    <w:rPr>
      <w:rFonts w:ascii="Arial" w:eastAsia="Calibri" w:hAnsi="Arial" w:cs="Times New Roman"/>
      <w:sz w:val="20"/>
      <w:szCs w:val="20"/>
    </w:rPr>
  </w:style>
  <w:style w:type="paragraph" w:styleId="EnvelopeAddress">
    <w:name w:val="envelope address"/>
    <w:basedOn w:val="Normal"/>
    <w:uiPriority w:val="99"/>
    <w:semiHidden/>
    <w:unhideWhenUsed/>
    <w:rsid w:val="006B6119"/>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B6119"/>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uiPriority w:val="7"/>
    <w:qFormat/>
    <w:rsid w:val="006B6119"/>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6B6119"/>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6B6119"/>
    <w:rPr>
      <w:rFonts w:ascii="Arial" w:eastAsia="Calibri" w:hAnsi="Arial" w:cs="Times New Roman"/>
      <w:color w:val="F47321"/>
      <w:sz w:val="12"/>
      <w:szCs w:val="24"/>
    </w:rPr>
  </w:style>
  <w:style w:type="character" w:styleId="FootnoteReference">
    <w:name w:val="footnote reference"/>
    <w:basedOn w:val="DefaultParagraphFont"/>
    <w:uiPriority w:val="99"/>
    <w:semiHidden/>
    <w:rsid w:val="006B6119"/>
    <w:rPr>
      <w:vertAlign w:val="superscript"/>
    </w:rPr>
  </w:style>
  <w:style w:type="paragraph" w:styleId="FootnoteText">
    <w:name w:val="footnote text"/>
    <w:basedOn w:val="Normal"/>
    <w:link w:val="FootnoteTextChar"/>
    <w:uiPriority w:val="29"/>
    <w:semiHidden/>
    <w:rsid w:val="0019250F"/>
    <w:pPr>
      <w:tabs>
        <w:tab w:val="left" w:pos="180"/>
      </w:tabs>
      <w:spacing w:after="0" w:line="240" w:lineRule="auto"/>
      <w:ind w:left="180" w:hanging="180"/>
      <w:jc w:val="left"/>
    </w:pPr>
    <w:rPr>
      <w:rFonts w:asciiTheme="minorHAnsi" w:hAnsiTheme="minorHAnsi"/>
      <w:sz w:val="16"/>
      <w:szCs w:val="20"/>
    </w:rPr>
  </w:style>
  <w:style w:type="character" w:customStyle="1" w:styleId="FootnoteTextChar">
    <w:name w:val="Footnote Text Char"/>
    <w:basedOn w:val="DefaultParagraphFont"/>
    <w:link w:val="FootnoteText"/>
    <w:uiPriority w:val="29"/>
    <w:semiHidden/>
    <w:rsid w:val="0019250F"/>
    <w:rPr>
      <w:rFonts w:eastAsia="Calibri" w:cs="Times New Roman"/>
      <w:sz w:val="16"/>
      <w:szCs w:val="20"/>
    </w:rPr>
  </w:style>
  <w:style w:type="paragraph" w:customStyle="1" w:styleId="ForewordHeading1">
    <w:name w:val="Foreword Heading 1"/>
    <w:basedOn w:val="Heading1"/>
    <w:next w:val="BodyText"/>
    <w:uiPriority w:val="5"/>
    <w:rsid w:val="006B6119"/>
    <w:pPr>
      <w:pageBreakBefore/>
      <w:numPr>
        <w:numId w:val="0"/>
      </w:numPr>
      <w:spacing w:after="60" w:line="264" w:lineRule="auto"/>
    </w:pPr>
    <w:rPr>
      <w:rFonts w:cstheme="majorHAnsi"/>
      <w:bCs/>
      <w:szCs w:val="28"/>
    </w:rPr>
  </w:style>
  <w:style w:type="paragraph" w:customStyle="1" w:styleId="ForewordHeading2">
    <w:name w:val="Foreword Heading 2"/>
    <w:basedOn w:val="Heading2"/>
    <w:next w:val="BodyText"/>
    <w:uiPriority w:val="5"/>
    <w:rsid w:val="006B6119"/>
    <w:pPr>
      <w:numPr>
        <w:ilvl w:val="0"/>
        <w:numId w:val="0"/>
      </w:numPr>
      <w:spacing w:after="60" w:line="264" w:lineRule="auto"/>
      <w:ind w:right="567"/>
    </w:pPr>
    <w:rPr>
      <w:bCs/>
      <w:szCs w:val="24"/>
    </w:rPr>
  </w:style>
  <w:style w:type="paragraph" w:customStyle="1" w:styleId="ForewordHeading3">
    <w:name w:val="Foreword Heading 3"/>
    <w:basedOn w:val="Heading3"/>
    <w:next w:val="BodyText"/>
    <w:uiPriority w:val="5"/>
    <w:rsid w:val="006B6119"/>
    <w:pPr>
      <w:numPr>
        <w:ilvl w:val="0"/>
        <w:numId w:val="0"/>
      </w:numPr>
      <w:spacing w:after="60" w:line="264" w:lineRule="auto"/>
    </w:pPr>
    <w:rPr>
      <w:bCs/>
    </w:rPr>
  </w:style>
  <w:style w:type="character" w:customStyle="1" w:styleId="Heading5Char">
    <w:name w:val="Heading 5 Char"/>
    <w:basedOn w:val="DefaultParagraphFont"/>
    <w:link w:val="Heading5"/>
    <w:uiPriority w:val="6"/>
    <w:rsid w:val="006B6119"/>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6B6119"/>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6B6119"/>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semiHidden/>
    <w:rsid w:val="006B611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semiHidden/>
    <w:rsid w:val="006B6119"/>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6B6119"/>
    <w:pPr>
      <w:numPr>
        <w:numId w:val="8"/>
      </w:numPr>
    </w:pPr>
  </w:style>
  <w:style w:type="paragraph" w:customStyle="1" w:styleId="Headingu6">
    <w:name w:val="Heading u6"/>
    <w:basedOn w:val="Heading6"/>
    <w:next w:val="BodyText"/>
    <w:semiHidden/>
    <w:rsid w:val="006B6119"/>
    <w:pPr>
      <w:numPr>
        <w:ilvl w:val="0"/>
        <w:numId w:val="0"/>
      </w:numPr>
    </w:pPr>
  </w:style>
  <w:style w:type="paragraph" w:styleId="HTMLAddress">
    <w:name w:val="HTML Address"/>
    <w:basedOn w:val="Normal"/>
    <w:link w:val="HTMLAddressChar"/>
    <w:uiPriority w:val="99"/>
    <w:semiHidden/>
    <w:unhideWhenUsed/>
    <w:rsid w:val="006B6119"/>
    <w:pPr>
      <w:spacing w:after="0" w:line="240" w:lineRule="auto"/>
    </w:pPr>
    <w:rPr>
      <w:i/>
      <w:iCs/>
    </w:rPr>
  </w:style>
  <w:style w:type="character" w:customStyle="1" w:styleId="HTMLAddressChar">
    <w:name w:val="HTML Address Char"/>
    <w:basedOn w:val="DefaultParagraphFont"/>
    <w:link w:val="HTMLAddress"/>
    <w:uiPriority w:val="99"/>
    <w:semiHidden/>
    <w:rsid w:val="006B6119"/>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6B611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6B6119"/>
    <w:rPr>
      <w:rFonts w:ascii="Consolas" w:eastAsia="Calibri" w:hAnsi="Consolas" w:cs="Times New Roman"/>
      <w:sz w:val="20"/>
      <w:szCs w:val="20"/>
    </w:rPr>
  </w:style>
  <w:style w:type="character" w:styleId="Hyperlink">
    <w:name w:val="Hyperlink"/>
    <w:basedOn w:val="BodyTextChar"/>
    <w:uiPriority w:val="99"/>
    <w:rsid w:val="006B6119"/>
    <w:rPr>
      <w:rFonts w:asciiTheme="minorHAnsi" w:eastAsia="Calibri" w:hAnsiTheme="minorHAnsi" w:cs="Times New Roman"/>
      <w:b w:val="0"/>
      <w:color w:val="1E4164" w:themeColor="accent6"/>
      <w:sz w:val="18"/>
      <w:szCs w:val="24"/>
      <w:u w:val="single"/>
      <w:lang w:eastAsia="en-US"/>
    </w:rPr>
  </w:style>
  <w:style w:type="paragraph" w:styleId="Index1">
    <w:name w:val="index 1"/>
    <w:basedOn w:val="Normal"/>
    <w:next w:val="Normal"/>
    <w:autoRedefine/>
    <w:uiPriority w:val="99"/>
    <w:semiHidden/>
    <w:unhideWhenUsed/>
    <w:rsid w:val="006B6119"/>
    <w:pPr>
      <w:spacing w:after="0" w:line="240" w:lineRule="auto"/>
      <w:ind w:left="200" w:hanging="200"/>
    </w:pPr>
  </w:style>
  <w:style w:type="paragraph" w:styleId="Index2">
    <w:name w:val="index 2"/>
    <w:basedOn w:val="Normal"/>
    <w:next w:val="Normal"/>
    <w:autoRedefine/>
    <w:uiPriority w:val="99"/>
    <w:semiHidden/>
    <w:unhideWhenUsed/>
    <w:rsid w:val="006B6119"/>
    <w:pPr>
      <w:spacing w:after="0" w:line="240" w:lineRule="auto"/>
      <w:ind w:left="400" w:hanging="200"/>
    </w:pPr>
  </w:style>
  <w:style w:type="paragraph" w:styleId="Index3">
    <w:name w:val="index 3"/>
    <w:basedOn w:val="Normal"/>
    <w:next w:val="Normal"/>
    <w:autoRedefine/>
    <w:uiPriority w:val="99"/>
    <w:semiHidden/>
    <w:unhideWhenUsed/>
    <w:rsid w:val="006B6119"/>
    <w:pPr>
      <w:spacing w:after="0" w:line="240" w:lineRule="auto"/>
      <w:ind w:left="600" w:hanging="200"/>
    </w:pPr>
  </w:style>
  <w:style w:type="paragraph" w:styleId="Index4">
    <w:name w:val="index 4"/>
    <w:basedOn w:val="Normal"/>
    <w:next w:val="Normal"/>
    <w:autoRedefine/>
    <w:uiPriority w:val="99"/>
    <w:semiHidden/>
    <w:unhideWhenUsed/>
    <w:rsid w:val="006B6119"/>
    <w:pPr>
      <w:spacing w:after="0" w:line="240" w:lineRule="auto"/>
      <w:ind w:left="800" w:hanging="200"/>
    </w:pPr>
  </w:style>
  <w:style w:type="paragraph" w:styleId="Index5">
    <w:name w:val="index 5"/>
    <w:basedOn w:val="Normal"/>
    <w:next w:val="Normal"/>
    <w:autoRedefine/>
    <w:uiPriority w:val="99"/>
    <w:semiHidden/>
    <w:unhideWhenUsed/>
    <w:rsid w:val="006B6119"/>
    <w:pPr>
      <w:spacing w:after="0" w:line="240" w:lineRule="auto"/>
      <w:ind w:left="1000" w:hanging="200"/>
    </w:pPr>
  </w:style>
  <w:style w:type="paragraph" w:styleId="Index6">
    <w:name w:val="index 6"/>
    <w:basedOn w:val="Normal"/>
    <w:next w:val="Normal"/>
    <w:autoRedefine/>
    <w:uiPriority w:val="99"/>
    <w:semiHidden/>
    <w:unhideWhenUsed/>
    <w:rsid w:val="006B6119"/>
    <w:pPr>
      <w:spacing w:after="0" w:line="240" w:lineRule="auto"/>
      <w:ind w:left="1200" w:hanging="200"/>
    </w:pPr>
  </w:style>
  <w:style w:type="paragraph" w:styleId="Index7">
    <w:name w:val="index 7"/>
    <w:basedOn w:val="Normal"/>
    <w:next w:val="Normal"/>
    <w:autoRedefine/>
    <w:uiPriority w:val="99"/>
    <w:semiHidden/>
    <w:unhideWhenUsed/>
    <w:rsid w:val="006B6119"/>
    <w:pPr>
      <w:spacing w:after="0" w:line="240" w:lineRule="auto"/>
      <w:ind w:left="1400" w:hanging="200"/>
    </w:pPr>
  </w:style>
  <w:style w:type="paragraph" w:styleId="Index8">
    <w:name w:val="index 8"/>
    <w:basedOn w:val="Normal"/>
    <w:next w:val="Normal"/>
    <w:autoRedefine/>
    <w:uiPriority w:val="99"/>
    <w:semiHidden/>
    <w:unhideWhenUsed/>
    <w:rsid w:val="006B6119"/>
    <w:pPr>
      <w:spacing w:after="0" w:line="240" w:lineRule="auto"/>
      <w:ind w:left="1600" w:hanging="200"/>
    </w:pPr>
  </w:style>
  <w:style w:type="paragraph" w:styleId="Index9">
    <w:name w:val="index 9"/>
    <w:basedOn w:val="Normal"/>
    <w:next w:val="Normal"/>
    <w:autoRedefine/>
    <w:uiPriority w:val="99"/>
    <w:semiHidden/>
    <w:unhideWhenUsed/>
    <w:rsid w:val="006B6119"/>
    <w:pPr>
      <w:spacing w:after="0" w:line="240" w:lineRule="auto"/>
      <w:ind w:left="1800" w:hanging="200"/>
    </w:pPr>
  </w:style>
  <w:style w:type="paragraph" w:styleId="IndexHeading">
    <w:name w:val="index heading"/>
    <w:basedOn w:val="Normal"/>
    <w:next w:val="Index1"/>
    <w:uiPriority w:val="99"/>
    <w:semiHidden/>
    <w:unhideWhenUsed/>
    <w:rsid w:val="006B6119"/>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6B6119"/>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6B6119"/>
    <w:rPr>
      <w:rFonts w:ascii="Arial" w:eastAsia="Calibri" w:hAnsi="Arial" w:cs="Times New Roman"/>
      <w:b/>
      <w:bCs/>
      <w:i/>
      <w:iCs/>
      <w:color w:val="FFC222" w:themeColor="accent1"/>
      <w:sz w:val="20"/>
      <w:szCs w:val="24"/>
    </w:rPr>
  </w:style>
  <w:style w:type="paragraph" w:styleId="List">
    <w:name w:val="List"/>
    <w:basedOn w:val="Normal"/>
    <w:uiPriority w:val="99"/>
    <w:semiHidden/>
    <w:rsid w:val="006B6119"/>
    <w:pPr>
      <w:ind w:left="283" w:hanging="283"/>
      <w:contextualSpacing/>
    </w:pPr>
  </w:style>
  <w:style w:type="paragraph" w:styleId="List2">
    <w:name w:val="List 2"/>
    <w:basedOn w:val="Normal"/>
    <w:uiPriority w:val="99"/>
    <w:semiHidden/>
    <w:rsid w:val="006B6119"/>
    <w:pPr>
      <w:ind w:left="566" w:hanging="283"/>
      <w:contextualSpacing/>
    </w:pPr>
  </w:style>
  <w:style w:type="paragraph" w:styleId="List3">
    <w:name w:val="List 3"/>
    <w:basedOn w:val="Normal"/>
    <w:uiPriority w:val="99"/>
    <w:semiHidden/>
    <w:rsid w:val="006B6119"/>
    <w:pPr>
      <w:ind w:left="849" w:hanging="283"/>
      <w:contextualSpacing/>
    </w:pPr>
  </w:style>
  <w:style w:type="paragraph" w:styleId="List4">
    <w:name w:val="List 4"/>
    <w:basedOn w:val="Normal"/>
    <w:uiPriority w:val="99"/>
    <w:semiHidden/>
    <w:rsid w:val="006B6119"/>
    <w:pPr>
      <w:ind w:left="1132" w:hanging="283"/>
      <w:contextualSpacing/>
    </w:pPr>
  </w:style>
  <w:style w:type="paragraph" w:styleId="List5">
    <w:name w:val="List 5"/>
    <w:basedOn w:val="Normal"/>
    <w:uiPriority w:val="99"/>
    <w:semiHidden/>
    <w:rsid w:val="006B6119"/>
    <w:pPr>
      <w:ind w:left="1415" w:hanging="283"/>
      <w:contextualSpacing/>
    </w:pPr>
  </w:style>
  <w:style w:type="paragraph" w:styleId="ListBullet">
    <w:name w:val="List Bullet"/>
    <w:basedOn w:val="BodyText"/>
    <w:uiPriority w:val="5"/>
    <w:qFormat/>
    <w:rsid w:val="006B6119"/>
    <w:pPr>
      <w:numPr>
        <w:numId w:val="9"/>
      </w:numPr>
      <w:spacing w:after="60"/>
    </w:pPr>
  </w:style>
  <w:style w:type="paragraph" w:styleId="ListBullet2">
    <w:name w:val="List Bullet 2"/>
    <w:basedOn w:val="Normal"/>
    <w:uiPriority w:val="5"/>
    <w:qFormat/>
    <w:rsid w:val="006B6119"/>
    <w:pPr>
      <w:numPr>
        <w:ilvl w:val="1"/>
        <w:numId w:val="9"/>
      </w:numPr>
      <w:spacing w:after="60" w:line="260" w:lineRule="atLeast"/>
      <w:jc w:val="left"/>
    </w:pPr>
    <w:rPr>
      <w:rFonts w:asciiTheme="minorHAnsi" w:hAnsiTheme="minorHAnsi"/>
    </w:rPr>
  </w:style>
  <w:style w:type="paragraph" w:styleId="ListBullet3">
    <w:name w:val="List Bullet 3"/>
    <w:basedOn w:val="Normal"/>
    <w:uiPriority w:val="5"/>
    <w:rsid w:val="006B6119"/>
    <w:pPr>
      <w:numPr>
        <w:ilvl w:val="2"/>
        <w:numId w:val="9"/>
      </w:numPr>
      <w:spacing w:after="60" w:line="260" w:lineRule="atLeast"/>
      <w:jc w:val="left"/>
    </w:pPr>
    <w:rPr>
      <w:rFonts w:asciiTheme="minorHAnsi" w:hAnsiTheme="minorHAnsi"/>
    </w:rPr>
  </w:style>
  <w:style w:type="paragraph" w:styleId="ListBullet4">
    <w:name w:val="List Bullet 4"/>
    <w:basedOn w:val="Normal"/>
    <w:uiPriority w:val="99"/>
    <w:semiHidden/>
    <w:rsid w:val="006B6119"/>
    <w:pPr>
      <w:contextualSpacing/>
    </w:pPr>
  </w:style>
  <w:style w:type="paragraph" w:styleId="ListBullet5">
    <w:name w:val="List Bullet 5"/>
    <w:basedOn w:val="Normal"/>
    <w:uiPriority w:val="99"/>
    <w:semiHidden/>
    <w:rsid w:val="006B6119"/>
    <w:pPr>
      <w:contextualSpacing/>
    </w:pPr>
  </w:style>
  <w:style w:type="paragraph" w:styleId="ListContinue">
    <w:name w:val="List Continue"/>
    <w:basedOn w:val="Normal"/>
    <w:uiPriority w:val="10"/>
    <w:rsid w:val="006B6119"/>
    <w:pPr>
      <w:spacing w:after="60" w:line="260" w:lineRule="atLeast"/>
      <w:ind w:left="425"/>
      <w:jc w:val="left"/>
    </w:pPr>
    <w:rPr>
      <w:rFonts w:asciiTheme="minorHAnsi" w:hAnsiTheme="minorHAnsi"/>
    </w:rPr>
  </w:style>
  <w:style w:type="paragraph" w:styleId="ListContinue2">
    <w:name w:val="List Continue 2"/>
    <w:basedOn w:val="Normal"/>
    <w:uiPriority w:val="11"/>
    <w:rsid w:val="006B6119"/>
    <w:pPr>
      <w:spacing w:after="60" w:line="260" w:lineRule="atLeast"/>
      <w:ind w:left="709"/>
      <w:jc w:val="left"/>
    </w:pPr>
    <w:rPr>
      <w:rFonts w:asciiTheme="minorHAnsi" w:hAnsiTheme="minorHAnsi"/>
    </w:rPr>
  </w:style>
  <w:style w:type="paragraph" w:styleId="ListContinue3">
    <w:name w:val="List Continue 3"/>
    <w:basedOn w:val="Normal"/>
    <w:uiPriority w:val="12"/>
    <w:rsid w:val="006B6119"/>
    <w:pPr>
      <w:spacing w:after="60" w:line="260" w:lineRule="atLeast"/>
      <w:ind w:left="992"/>
      <w:jc w:val="left"/>
    </w:pPr>
    <w:rPr>
      <w:rFonts w:asciiTheme="minorHAnsi" w:hAnsiTheme="minorHAnsi"/>
    </w:rPr>
  </w:style>
  <w:style w:type="paragraph" w:styleId="ListContinue4">
    <w:name w:val="List Continue 4"/>
    <w:basedOn w:val="Normal"/>
    <w:uiPriority w:val="99"/>
    <w:semiHidden/>
    <w:rsid w:val="006B6119"/>
    <w:pPr>
      <w:spacing w:after="120"/>
      <w:ind w:left="1132"/>
      <w:contextualSpacing/>
    </w:pPr>
  </w:style>
  <w:style w:type="paragraph" w:styleId="ListContinue5">
    <w:name w:val="List Continue 5"/>
    <w:basedOn w:val="Normal"/>
    <w:uiPriority w:val="99"/>
    <w:semiHidden/>
    <w:rsid w:val="006B6119"/>
    <w:pPr>
      <w:spacing w:after="120"/>
      <w:ind w:left="1415"/>
      <w:contextualSpacing/>
    </w:pPr>
  </w:style>
  <w:style w:type="paragraph" w:customStyle="1" w:styleId="ListLetter">
    <w:name w:val="List Letter"/>
    <w:basedOn w:val="ListBullet"/>
    <w:uiPriority w:val="9"/>
    <w:rsid w:val="006B6119"/>
    <w:pPr>
      <w:numPr>
        <w:numId w:val="10"/>
      </w:numPr>
    </w:pPr>
  </w:style>
  <w:style w:type="paragraph" w:styleId="ListNumber">
    <w:name w:val="List Number"/>
    <w:basedOn w:val="Normal"/>
    <w:uiPriority w:val="9"/>
    <w:rsid w:val="006B6119"/>
    <w:pPr>
      <w:numPr>
        <w:numId w:val="11"/>
      </w:numPr>
      <w:spacing w:after="60" w:line="260" w:lineRule="atLeast"/>
      <w:jc w:val="left"/>
    </w:pPr>
    <w:rPr>
      <w:szCs w:val="18"/>
    </w:rPr>
  </w:style>
  <w:style w:type="paragraph" w:styleId="ListNumber2">
    <w:name w:val="List Number 2"/>
    <w:basedOn w:val="Normal"/>
    <w:uiPriority w:val="10"/>
    <w:rsid w:val="006B6119"/>
    <w:pPr>
      <w:numPr>
        <w:ilvl w:val="1"/>
        <w:numId w:val="11"/>
      </w:numPr>
      <w:spacing w:after="60" w:line="260" w:lineRule="atLeast"/>
    </w:pPr>
  </w:style>
  <w:style w:type="paragraph" w:styleId="ListNumber3">
    <w:name w:val="List Number 3"/>
    <w:basedOn w:val="Normal"/>
    <w:uiPriority w:val="11"/>
    <w:rsid w:val="006B6119"/>
    <w:pPr>
      <w:numPr>
        <w:ilvl w:val="2"/>
        <w:numId w:val="11"/>
      </w:numPr>
      <w:spacing w:after="60" w:line="260" w:lineRule="atLeast"/>
    </w:pPr>
  </w:style>
  <w:style w:type="paragraph" w:styleId="ListNumber4">
    <w:name w:val="List Number 4"/>
    <w:basedOn w:val="Normal"/>
    <w:uiPriority w:val="99"/>
    <w:semiHidden/>
    <w:unhideWhenUsed/>
    <w:rsid w:val="006B6119"/>
    <w:pPr>
      <w:contextualSpacing/>
    </w:pPr>
  </w:style>
  <w:style w:type="paragraph" w:styleId="ListNumber5">
    <w:name w:val="List Number 5"/>
    <w:basedOn w:val="Normal"/>
    <w:uiPriority w:val="99"/>
    <w:semiHidden/>
    <w:unhideWhenUsed/>
    <w:rsid w:val="006B6119"/>
    <w:pPr>
      <w:contextualSpacing/>
    </w:pPr>
  </w:style>
  <w:style w:type="paragraph" w:styleId="ListParagraph">
    <w:name w:val="List Paragraph"/>
    <w:basedOn w:val="Normal"/>
    <w:uiPriority w:val="34"/>
    <w:semiHidden/>
    <w:rsid w:val="006B6119"/>
    <w:pPr>
      <w:ind w:left="720"/>
      <w:contextualSpacing/>
    </w:pPr>
  </w:style>
  <w:style w:type="paragraph" w:styleId="MacroText">
    <w:name w:val="macro"/>
    <w:link w:val="MacroTextChar"/>
    <w:uiPriority w:val="99"/>
    <w:semiHidden/>
    <w:unhideWhenUsed/>
    <w:rsid w:val="006B6119"/>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6B6119"/>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6B61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6B6119"/>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6B6119"/>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6B6119"/>
    <w:rPr>
      <w:rFonts w:ascii="Times New Roman" w:hAnsi="Times New Roman"/>
      <w:sz w:val="24"/>
    </w:rPr>
  </w:style>
  <w:style w:type="paragraph" w:styleId="NormalIndent">
    <w:name w:val="Normal Indent"/>
    <w:basedOn w:val="Normal"/>
    <w:uiPriority w:val="99"/>
    <w:semiHidden/>
    <w:rsid w:val="006B6119"/>
    <w:pPr>
      <w:ind w:left="720"/>
    </w:pPr>
  </w:style>
  <w:style w:type="paragraph" w:styleId="NoteHeading">
    <w:name w:val="Note Heading"/>
    <w:basedOn w:val="Normal"/>
    <w:next w:val="Normal"/>
    <w:link w:val="NoteHeadingChar"/>
    <w:uiPriority w:val="99"/>
    <w:semiHidden/>
    <w:rsid w:val="006B6119"/>
    <w:pPr>
      <w:spacing w:after="0" w:line="240" w:lineRule="auto"/>
    </w:pPr>
  </w:style>
  <w:style w:type="character" w:customStyle="1" w:styleId="NoteHeadingChar">
    <w:name w:val="Note Heading Char"/>
    <w:basedOn w:val="DefaultParagraphFont"/>
    <w:link w:val="NoteHeading"/>
    <w:uiPriority w:val="99"/>
    <w:semiHidden/>
    <w:rsid w:val="006B6119"/>
    <w:rPr>
      <w:rFonts w:ascii="Arial" w:eastAsia="Calibri" w:hAnsi="Arial" w:cs="Times New Roman"/>
      <w:sz w:val="20"/>
      <w:szCs w:val="24"/>
    </w:rPr>
  </w:style>
  <w:style w:type="paragraph" w:styleId="PlainText">
    <w:name w:val="Plain Text"/>
    <w:basedOn w:val="Normal"/>
    <w:link w:val="PlainTextChar"/>
    <w:uiPriority w:val="99"/>
    <w:semiHidden/>
    <w:unhideWhenUsed/>
    <w:rsid w:val="006B611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B6119"/>
    <w:rPr>
      <w:rFonts w:ascii="Consolas" w:eastAsia="Calibri" w:hAnsi="Consolas" w:cs="Times New Roman"/>
      <w:sz w:val="21"/>
      <w:szCs w:val="21"/>
    </w:rPr>
  </w:style>
  <w:style w:type="paragraph" w:customStyle="1" w:styleId="Published">
    <w:name w:val="Published"/>
    <w:semiHidden/>
    <w:rsid w:val="006B6119"/>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6B6119"/>
    <w:pPr>
      <w:spacing w:after="200" w:line="240" w:lineRule="auto"/>
      <w:jc w:val="right"/>
    </w:pPr>
    <w:rPr>
      <w:i/>
      <w:iCs/>
      <w:color w:val="948671" w:themeColor="accent5"/>
    </w:rPr>
  </w:style>
  <w:style w:type="character" w:customStyle="1" w:styleId="QuoteChar">
    <w:name w:val="Quote Char"/>
    <w:basedOn w:val="DefaultParagraphFont"/>
    <w:link w:val="Quote"/>
    <w:uiPriority w:val="29"/>
    <w:semiHidden/>
    <w:rsid w:val="006B6119"/>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semiHidden/>
    <w:unhideWhenUsed/>
    <w:rsid w:val="006B6119"/>
  </w:style>
  <w:style w:type="character" w:customStyle="1" w:styleId="SalutationChar">
    <w:name w:val="Salutation Char"/>
    <w:basedOn w:val="DefaultParagraphFont"/>
    <w:link w:val="Salutation"/>
    <w:uiPriority w:val="99"/>
    <w:semiHidden/>
    <w:rsid w:val="006B6119"/>
    <w:rPr>
      <w:rFonts w:ascii="Arial" w:eastAsia="Calibri" w:hAnsi="Arial" w:cs="Times New Roman"/>
      <w:sz w:val="20"/>
      <w:szCs w:val="24"/>
    </w:rPr>
  </w:style>
  <w:style w:type="paragraph" w:styleId="Signature">
    <w:name w:val="Signature"/>
    <w:basedOn w:val="Normal"/>
    <w:link w:val="SignatureChar"/>
    <w:uiPriority w:val="99"/>
    <w:semiHidden/>
    <w:unhideWhenUsed/>
    <w:rsid w:val="006B6119"/>
    <w:pPr>
      <w:spacing w:after="0" w:line="240" w:lineRule="auto"/>
      <w:ind w:left="4252"/>
    </w:pPr>
  </w:style>
  <w:style w:type="character" w:customStyle="1" w:styleId="SignatureChar">
    <w:name w:val="Signature Char"/>
    <w:basedOn w:val="DefaultParagraphFont"/>
    <w:link w:val="Signature"/>
    <w:uiPriority w:val="99"/>
    <w:semiHidden/>
    <w:rsid w:val="006B6119"/>
    <w:rPr>
      <w:rFonts w:ascii="Arial" w:eastAsia="Calibri" w:hAnsi="Arial" w:cs="Times New Roman"/>
      <w:sz w:val="20"/>
      <w:szCs w:val="24"/>
    </w:rPr>
  </w:style>
  <w:style w:type="paragraph" w:styleId="Subtitle">
    <w:name w:val="Subtitle"/>
    <w:basedOn w:val="Normal"/>
    <w:next w:val="Normal"/>
    <w:link w:val="SubtitleChar"/>
    <w:semiHidden/>
    <w:rsid w:val="006B6119"/>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6B6119"/>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6B6119"/>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uiPriority w:val="5"/>
    <w:qFormat/>
    <w:rsid w:val="0019250F"/>
    <w:pPr>
      <w:spacing w:before="40" w:after="40"/>
    </w:pPr>
    <w:rPr>
      <w:sz w:val="18"/>
      <w:szCs w:val="18"/>
    </w:rPr>
  </w:style>
  <w:style w:type="paragraph" w:customStyle="1" w:styleId="TableBullet">
    <w:name w:val="Table Bullet"/>
    <w:basedOn w:val="TableText"/>
    <w:uiPriority w:val="5"/>
    <w:qFormat/>
    <w:rsid w:val="006B6119"/>
    <w:pPr>
      <w:numPr>
        <w:numId w:val="14"/>
      </w:numPr>
      <w:contextualSpacing/>
    </w:pPr>
    <w:rPr>
      <w:lang w:eastAsia="en-AU"/>
    </w:rPr>
  </w:style>
  <w:style w:type="paragraph" w:customStyle="1" w:styleId="TableBullet2">
    <w:name w:val="Table Bullet 2"/>
    <w:basedOn w:val="TableBullet"/>
    <w:uiPriority w:val="5"/>
    <w:rsid w:val="006B6119"/>
    <w:pPr>
      <w:numPr>
        <w:ilvl w:val="1"/>
      </w:numPr>
    </w:pPr>
  </w:style>
  <w:style w:type="paragraph" w:customStyle="1" w:styleId="TableBulletContinue">
    <w:name w:val="Table Bullet Continue"/>
    <w:basedOn w:val="TableBullet"/>
    <w:uiPriority w:val="5"/>
    <w:rsid w:val="006B6119"/>
    <w:pPr>
      <w:numPr>
        <w:numId w:val="0"/>
      </w:numPr>
      <w:ind w:left="170"/>
    </w:pPr>
  </w:style>
  <w:style w:type="paragraph" w:customStyle="1" w:styleId="TableBulletContinue2">
    <w:name w:val="Table Bullet Continue 2"/>
    <w:basedOn w:val="TableBullet2"/>
    <w:uiPriority w:val="5"/>
    <w:rsid w:val="006B6119"/>
    <w:pPr>
      <w:numPr>
        <w:numId w:val="0"/>
      </w:numPr>
      <w:ind w:left="340"/>
    </w:pPr>
  </w:style>
  <w:style w:type="paragraph" w:customStyle="1" w:styleId="TableFootnote">
    <w:name w:val="Table Footnote"/>
    <w:basedOn w:val="TableText"/>
    <w:uiPriority w:val="5"/>
    <w:qFormat/>
    <w:rsid w:val="0019250F"/>
    <w:pPr>
      <w:spacing w:after="240"/>
      <w:contextualSpacing/>
    </w:pPr>
    <w:rPr>
      <w:sz w:val="16"/>
    </w:rPr>
  </w:style>
  <w:style w:type="table" w:customStyle="1" w:styleId="TableGridLight1">
    <w:name w:val="Table Grid Light1"/>
    <w:basedOn w:val="TableNormal"/>
    <w:uiPriority w:val="40"/>
    <w:rsid w:val="006B6119"/>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uiPriority w:val="5"/>
    <w:rsid w:val="006B6119"/>
    <w:rPr>
      <w:lang w:eastAsia="en-AU"/>
    </w:rPr>
  </w:style>
  <w:style w:type="paragraph" w:customStyle="1" w:styleId="TableNumber">
    <w:name w:val="Table Number"/>
    <w:basedOn w:val="TableText"/>
    <w:uiPriority w:val="5"/>
    <w:qFormat/>
    <w:rsid w:val="006B6119"/>
    <w:pPr>
      <w:contextualSpacing/>
      <w:jc w:val="right"/>
    </w:pPr>
  </w:style>
  <w:style w:type="paragraph" w:styleId="TableofAuthorities">
    <w:name w:val="table of authorities"/>
    <w:basedOn w:val="Normal"/>
    <w:next w:val="Normal"/>
    <w:uiPriority w:val="99"/>
    <w:semiHidden/>
    <w:unhideWhenUsed/>
    <w:rsid w:val="006B6119"/>
    <w:pPr>
      <w:spacing w:after="0"/>
      <w:ind w:left="200" w:hanging="200"/>
    </w:pPr>
  </w:style>
  <w:style w:type="paragraph" w:styleId="TableofFigures">
    <w:name w:val="table of figures"/>
    <w:basedOn w:val="Normal"/>
    <w:next w:val="Normal"/>
    <w:uiPriority w:val="99"/>
    <w:semiHidden/>
    <w:rsid w:val="006B6119"/>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5"/>
    <w:rsid w:val="006B6119"/>
    <w:pPr>
      <w:jc w:val="center"/>
    </w:pPr>
  </w:style>
  <w:style w:type="paragraph" w:customStyle="1" w:styleId="TableTitle">
    <w:name w:val="Table Title"/>
    <w:basedOn w:val="BodyText"/>
    <w:uiPriority w:val="5"/>
    <w:qFormat/>
    <w:rsid w:val="004954FD"/>
    <w:pPr>
      <w:keepNext/>
      <w:spacing w:before="60" w:after="60"/>
    </w:pPr>
    <w:rPr>
      <w:color w:val="000000"/>
      <w:sz w:val="18"/>
      <w:szCs w:val="18"/>
      <w:lang w:val="en-US"/>
    </w:rPr>
  </w:style>
  <w:style w:type="paragraph" w:styleId="Title">
    <w:name w:val="Title"/>
    <w:basedOn w:val="Normal"/>
    <w:next w:val="Normal"/>
    <w:link w:val="TitleChar"/>
    <w:uiPriority w:val="10"/>
    <w:qFormat/>
    <w:rsid w:val="006B6119"/>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10"/>
    <w:rsid w:val="006B6119"/>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6B6119"/>
    <w:pPr>
      <w:keepNext/>
      <w:keepLines/>
      <w:spacing w:before="120"/>
      <w:jc w:val="left"/>
    </w:pPr>
    <w:rPr>
      <w:rFonts w:asciiTheme="majorHAnsi" w:hAnsiTheme="majorHAnsi"/>
      <w:b/>
      <w:caps/>
      <w:color w:val="1E4164" w:themeColor="accent6"/>
      <w:sz w:val="24"/>
    </w:rPr>
  </w:style>
  <w:style w:type="paragraph" w:styleId="TOAHeading">
    <w:name w:val="toa heading"/>
    <w:basedOn w:val="TOCHeading"/>
    <w:next w:val="Normal"/>
    <w:uiPriority w:val="99"/>
    <w:semiHidden/>
    <w:rsid w:val="006B6119"/>
  </w:style>
  <w:style w:type="paragraph" w:styleId="TOC1">
    <w:name w:val="toc 1"/>
    <w:basedOn w:val="Normal"/>
    <w:next w:val="Normal"/>
    <w:uiPriority w:val="39"/>
    <w:rsid w:val="006B6119"/>
    <w:pPr>
      <w:tabs>
        <w:tab w:val="left" w:pos="567"/>
        <w:tab w:val="right" w:pos="9180"/>
      </w:tabs>
      <w:spacing w:before="160" w:after="20" w:line="288" w:lineRule="auto"/>
      <w:ind w:left="567" w:right="255" w:hanging="567"/>
      <w:jc w:val="left"/>
    </w:pPr>
    <w:rPr>
      <w:rFonts w:eastAsia="Times New Roman"/>
      <w:b/>
      <w:caps/>
      <w:noProof/>
      <w:color w:val="1E4164" w:themeColor="accent6"/>
    </w:rPr>
  </w:style>
  <w:style w:type="paragraph" w:styleId="TOC2">
    <w:name w:val="toc 2"/>
    <w:basedOn w:val="TOC1"/>
    <w:next w:val="Normal"/>
    <w:uiPriority w:val="39"/>
    <w:rsid w:val="006B6119"/>
    <w:pPr>
      <w:spacing w:before="0" w:after="120"/>
      <w:contextualSpacing/>
    </w:pPr>
    <w:rPr>
      <w:rFonts w:asciiTheme="minorHAnsi" w:eastAsiaTheme="minorEastAsia" w:hAnsiTheme="minorHAnsi" w:cstheme="minorBidi"/>
      <w:b w:val="0"/>
      <w:caps w:val="0"/>
      <w:szCs w:val="22"/>
      <w:lang w:eastAsia="en-AU"/>
    </w:rPr>
  </w:style>
  <w:style w:type="paragraph" w:styleId="TOC3">
    <w:name w:val="toc 3"/>
    <w:next w:val="Normal"/>
    <w:uiPriority w:val="39"/>
    <w:rsid w:val="006B6119"/>
    <w:pPr>
      <w:tabs>
        <w:tab w:val="right" w:pos="9180"/>
      </w:tabs>
      <w:spacing w:before="160" w:after="20" w:line="288" w:lineRule="auto"/>
      <w:ind w:right="255"/>
    </w:pPr>
    <w:rPr>
      <w:rFonts w:ascii="Arial Bold" w:eastAsia="Times New Roman" w:hAnsi="Arial Bold" w:cs="Times New Roman"/>
      <w:b/>
      <w:caps/>
      <w:noProof/>
      <w:color w:val="1E4164" w:themeColor="accent6"/>
      <w:sz w:val="20"/>
    </w:rPr>
  </w:style>
  <w:style w:type="paragraph" w:styleId="TOC4">
    <w:name w:val="toc 4"/>
    <w:basedOn w:val="Normal"/>
    <w:next w:val="Normal"/>
    <w:uiPriority w:val="39"/>
    <w:rsid w:val="006B6119"/>
    <w:pPr>
      <w:tabs>
        <w:tab w:val="right" w:pos="9177"/>
      </w:tabs>
      <w:spacing w:after="120" w:line="288" w:lineRule="auto"/>
      <w:ind w:right="567"/>
      <w:contextualSpacing/>
    </w:pPr>
    <w:rPr>
      <w:noProof/>
      <w:color w:val="1E4164" w:themeColor="accent6"/>
      <w:szCs w:val="18"/>
    </w:rPr>
  </w:style>
  <w:style w:type="paragraph" w:styleId="TOC5">
    <w:name w:val="toc 5"/>
    <w:basedOn w:val="Normal"/>
    <w:next w:val="Normal"/>
    <w:uiPriority w:val="39"/>
    <w:rsid w:val="006B6119"/>
    <w:pPr>
      <w:tabs>
        <w:tab w:val="left" w:pos="1418"/>
        <w:tab w:val="right" w:pos="9180"/>
      </w:tabs>
      <w:spacing w:before="160" w:after="20" w:line="288" w:lineRule="auto"/>
      <w:ind w:left="1418" w:right="255" w:hanging="1418"/>
      <w:jc w:val="left"/>
    </w:pPr>
    <w:rPr>
      <w:rFonts w:ascii="Arial Bold" w:hAnsi="Arial Bold"/>
      <w:b/>
      <w:caps/>
      <w:noProof/>
      <w:color w:val="1E4164" w:themeColor="accent6"/>
    </w:rPr>
  </w:style>
  <w:style w:type="paragraph" w:styleId="TOC6">
    <w:name w:val="toc 6"/>
    <w:basedOn w:val="Normal"/>
    <w:next w:val="Normal"/>
    <w:uiPriority w:val="39"/>
    <w:rsid w:val="006B6119"/>
    <w:pPr>
      <w:tabs>
        <w:tab w:val="right" w:leader="dot" w:pos="9174"/>
      </w:tabs>
      <w:spacing w:after="120" w:line="288" w:lineRule="auto"/>
      <w:ind w:left="936" w:right="253" w:hanging="936"/>
      <w:contextualSpacing/>
      <w:jc w:val="left"/>
    </w:pPr>
    <w:rPr>
      <w:noProof/>
      <w:color w:val="1E4164" w:themeColor="accent6"/>
      <w:szCs w:val="18"/>
    </w:rPr>
  </w:style>
  <w:style w:type="paragraph" w:styleId="TOC7">
    <w:name w:val="toc 7"/>
    <w:basedOn w:val="Normal"/>
    <w:next w:val="Normal"/>
    <w:autoRedefine/>
    <w:uiPriority w:val="99"/>
    <w:semiHidden/>
    <w:rsid w:val="006B6119"/>
    <w:pPr>
      <w:spacing w:after="100"/>
      <w:ind w:left="1200"/>
    </w:pPr>
  </w:style>
  <w:style w:type="paragraph" w:styleId="TOC8">
    <w:name w:val="toc 8"/>
    <w:basedOn w:val="Normal"/>
    <w:next w:val="Normal"/>
    <w:autoRedefine/>
    <w:uiPriority w:val="99"/>
    <w:semiHidden/>
    <w:rsid w:val="006B6119"/>
    <w:pPr>
      <w:spacing w:after="100"/>
      <w:ind w:left="1400"/>
    </w:pPr>
  </w:style>
  <w:style w:type="paragraph" w:styleId="TOC9">
    <w:name w:val="toc 9"/>
    <w:basedOn w:val="Normal"/>
    <w:next w:val="Normal"/>
    <w:autoRedefine/>
    <w:uiPriority w:val="99"/>
    <w:semiHidden/>
    <w:rsid w:val="006B6119"/>
    <w:pPr>
      <w:spacing w:after="100"/>
      <w:ind w:left="1600"/>
    </w:pPr>
  </w:style>
  <w:style w:type="paragraph" w:customStyle="1" w:styleId="ImprintFooter1">
    <w:name w:val="ImprintFooter1"/>
    <w:semiHidden/>
    <w:rsid w:val="006B6119"/>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6B6119"/>
    <w:pPr>
      <w:tabs>
        <w:tab w:val="center" w:pos="1938"/>
        <w:tab w:val="center" w:pos="3135"/>
        <w:tab w:val="center" w:pos="4218"/>
        <w:tab w:val="center" w:pos="5757"/>
        <w:tab w:val="center" w:pos="7296"/>
        <w:tab w:val="right" w:pos="9185"/>
      </w:tabs>
      <w:spacing w:after="80"/>
      <w:jc w:val="left"/>
    </w:pPr>
    <w:rPr>
      <w:rFonts w:ascii="Tw Cen MT" w:hAnsi="Tw Cen MT"/>
      <w:kern w:val="18"/>
      <w:sz w:val="16"/>
      <w:szCs w:val="19"/>
    </w:rPr>
  </w:style>
  <w:style w:type="paragraph" w:customStyle="1" w:styleId="TableList">
    <w:name w:val="Table List"/>
    <w:uiPriority w:val="3"/>
    <w:semiHidden/>
    <w:rsid w:val="0019250F"/>
    <w:pPr>
      <w:numPr>
        <w:numId w:val="15"/>
      </w:numPr>
      <w:tabs>
        <w:tab w:val="left" w:pos="170"/>
      </w:tabs>
      <w:spacing w:before="40" w:after="40" w:line="240" w:lineRule="auto"/>
    </w:pPr>
    <w:rPr>
      <w:rFonts w:ascii="Arial" w:eastAsia="Calibri" w:hAnsi="Arial" w:cs="Times New Roman"/>
      <w:sz w:val="18"/>
      <w:szCs w:val="24"/>
      <w:lang w:eastAsia="en-AU"/>
    </w:rPr>
  </w:style>
  <w:style w:type="table" w:customStyle="1" w:styleId="AEMOTable">
    <w:name w:val="AEMO Table"/>
    <w:basedOn w:val="TableNormal"/>
    <w:uiPriority w:val="99"/>
    <w:rsid w:val="006B6119"/>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6B6119"/>
    <w:pPr>
      <w:numPr>
        <w:ilvl w:val="1"/>
      </w:numPr>
    </w:pPr>
  </w:style>
  <w:style w:type="paragraph" w:customStyle="1" w:styleId="ListLetter3">
    <w:name w:val="List Letter 3"/>
    <w:basedOn w:val="ListLetter2"/>
    <w:uiPriority w:val="11"/>
    <w:rsid w:val="006B6119"/>
    <w:pPr>
      <w:numPr>
        <w:ilvl w:val="2"/>
      </w:numPr>
    </w:pPr>
  </w:style>
  <w:style w:type="paragraph" w:customStyle="1" w:styleId="DocRef">
    <w:name w:val="DocRef"/>
    <w:basedOn w:val="TableText"/>
    <w:uiPriority w:val="5"/>
    <w:rsid w:val="006B6119"/>
  </w:style>
  <w:style w:type="paragraph" w:customStyle="1" w:styleId="EffectDate">
    <w:name w:val="EffectDate"/>
    <w:uiPriority w:val="5"/>
    <w:rsid w:val="006B6119"/>
    <w:pPr>
      <w:spacing w:before="40" w:after="40" w:line="240" w:lineRule="auto"/>
    </w:pPr>
    <w:rPr>
      <w:rFonts w:eastAsia="Calibri" w:cs="Times New Roman"/>
      <w:sz w:val="16"/>
      <w:szCs w:val="24"/>
    </w:rPr>
  </w:style>
  <w:style w:type="paragraph" w:customStyle="1" w:styleId="ParaNum1">
    <w:name w:val="ParaNum1"/>
    <w:basedOn w:val="BodyText"/>
    <w:rsid w:val="00E85C7E"/>
    <w:pPr>
      <w:numPr>
        <w:ilvl w:val="3"/>
        <w:numId w:val="1"/>
      </w:numPr>
    </w:pPr>
  </w:style>
  <w:style w:type="paragraph" w:customStyle="1" w:styleId="ParaNum2">
    <w:name w:val="ParaNum2"/>
    <w:basedOn w:val="ParaNum1"/>
    <w:rsid w:val="00E85C7E"/>
    <w:pPr>
      <w:numPr>
        <w:ilvl w:val="4"/>
      </w:numPr>
    </w:pPr>
  </w:style>
  <w:style w:type="paragraph" w:customStyle="1" w:styleId="ParaNum3">
    <w:name w:val="ParaNum3"/>
    <w:basedOn w:val="ParaNum2"/>
    <w:rsid w:val="00E85C7E"/>
    <w:pPr>
      <w:numPr>
        <w:ilvl w:val="5"/>
      </w:numPr>
    </w:pPr>
  </w:style>
  <w:style w:type="paragraph" w:customStyle="1" w:styleId="ParaFlw1">
    <w:name w:val="ParaFlw1"/>
    <w:basedOn w:val="Normal"/>
    <w:uiPriority w:val="5"/>
    <w:qFormat/>
    <w:rsid w:val="006B6119"/>
    <w:pPr>
      <w:spacing w:after="120" w:line="240" w:lineRule="auto"/>
      <w:ind w:left="1278"/>
      <w:jc w:val="left"/>
    </w:pPr>
    <w:rPr>
      <w:rFonts w:asciiTheme="minorHAnsi" w:eastAsiaTheme="minorHAnsi" w:hAnsiTheme="minorHAnsi" w:cstheme="minorBidi"/>
      <w:szCs w:val="22"/>
    </w:rPr>
  </w:style>
  <w:style w:type="paragraph" w:customStyle="1" w:styleId="ParaFlw2">
    <w:name w:val="ParaFlw2"/>
    <w:basedOn w:val="Normal"/>
    <w:uiPriority w:val="5"/>
    <w:qFormat/>
    <w:rsid w:val="006B6119"/>
    <w:pPr>
      <w:spacing w:after="120" w:line="240" w:lineRule="auto"/>
      <w:ind w:left="1843"/>
      <w:jc w:val="left"/>
    </w:pPr>
    <w:rPr>
      <w:rFonts w:asciiTheme="minorHAnsi" w:eastAsiaTheme="minorHAnsi" w:hAnsiTheme="minorHAnsi" w:cstheme="minorBidi"/>
      <w:szCs w:val="22"/>
    </w:rPr>
  </w:style>
  <w:style w:type="paragraph" w:customStyle="1" w:styleId="ParaFlw3">
    <w:name w:val="ParaFlw3"/>
    <w:basedOn w:val="Normal"/>
    <w:uiPriority w:val="5"/>
    <w:qFormat/>
    <w:rsid w:val="006B6119"/>
    <w:pPr>
      <w:spacing w:after="120" w:line="240" w:lineRule="auto"/>
      <w:ind w:left="2414"/>
      <w:jc w:val="left"/>
    </w:pPr>
    <w:rPr>
      <w:rFonts w:asciiTheme="minorHAnsi" w:eastAsiaTheme="minorHAnsi" w:hAnsiTheme="minorHAnsi" w:cstheme="minorBidi"/>
      <w:szCs w:val="22"/>
    </w:rPr>
  </w:style>
  <w:style w:type="paragraph" w:customStyle="1" w:styleId="Lista">
    <w:name w:val="List (a)"/>
    <w:basedOn w:val="Normal"/>
    <w:qFormat/>
    <w:rsid w:val="006B6119"/>
    <w:pPr>
      <w:numPr>
        <w:ilvl w:val="1"/>
        <w:numId w:val="12"/>
      </w:numPr>
      <w:spacing w:after="120" w:line="240" w:lineRule="auto"/>
      <w:jc w:val="left"/>
    </w:pPr>
    <w:rPr>
      <w:rFonts w:asciiTheme="minorHAnsi" w:eastAsiaTheme="minorHAnsi" w:hAnsiTheme="minorHAnsi" w:cstheme="minorBidi"/>
      <w:szCs w:val="22"/>
    </w:rPr>
  </w:style>
  <w:style w:type="paragraph" w:customStyle="1" w:styleId="Listi">
    <w:name w:val="List (i)"/>
    <w:basedOn w:val="Normal"/>
    <w:uiPriority w:val="1"/>
    <w:qFormat/>
    <w:rsid w:val="006B6119"/>
    <w:pPr>
      <w:numPr>
        <w:ilvl w:val="2"/>
        <w:numId w:val="12"/>
      </w:numPr>
      <w:spacing w:after="120" w:line="240" w:lineRule="auto"/>
      <w:jc w:val="left"/>
    </w:pPr>
    <w:rPr>
      <w:rFonts w:asciiTheme="minorHAnsi" w:eastAsiaTheme="minorHAnsi" w:hAnsiTheme="minorHAnsi" w:cstheme="minorBidi"/>
      <w:szCs w:val="22"/>
    </w:rPr>
  </w:style>
  <w:style w:type="paragraph" w:customStyle="1" w:styleId="ListA0">
    <w:name w:val="List (A)"/>
    <w:basedOn w:val="Normal"/>
    <w:uiPriority w:val="2"/>
    <w:qFormat/>
    <w:rsid w:val="006B6119"/>
    <w:pPr>
      <w:numPr>
        <w:ilvl w:val="3"/>
        <w:numId w:val="12"/>
      </w:numPr>
      <w:spacing w:after="120" w:line="240" w:lineRule="auto"/>
      <w:jc w:val="left"/>
    </w:pPr>
    <w:rPr>
      <w:rFonts w:asciiTheme="minorHAnsi" w:eastAsiaTheme="minorHAnsi" w:hAnsiTheme="minorHAnsi" w:cstheme="minorBidi"/>
      <w:szCs w:val="22"/>
    </w:rPr>
  </w:style>
  <w:style w:type="paragraph" w:customStyle="1" w:styleId="ParaFlw0">
    <w:name w:val="ParaFlw0"/>
    <w:basedOn w:val="Normal"/>
    <w:uiPriority w:val="5"/>
    <w:qFormat/>
    <w:rsid w:val="006B6119"/>
    <w:pPr>
      <w:spacing w:after="120" w:line="240" w:lineRule="auto"/>
      <w:ind w:left="710"/>
      <w:jc w:val="left"/>
    </w:pPr>
    <w:rPr>
      <w:rFonts w:asciiTheme="minorHAnsi" w:eastAsiaTheme="minorHAnsi" w:hAnsiTheme="minorHAnsi" w:cstheme="minorBidi"/>
      <w:szCs w:val="22"/>
    </w:rPr>
  </w:style>
  <w:style w:type="character" w:styleId="CommentReference">
    <w:name w:val="annotation reference"/>
    <w:basedOn w:val="DefaultParagraphFont"/>
    <w:uiPriority w:val="5"/>
    <w:unhideWhenUsed/>
    <w:rsid w:val="006B6119"/>
    <w:rPr>
      <w:sz w:val="16"/>
      <w:szCs w:val="16"/>
    </w:rPr>
  </w:style>
  <w:style w:type="table" w:customStyle="1" w:styleId="LegalFooterTable">
    <w:name w:val="LegalFooterTable"/>
    <w:basedOn w:val="TableNormal"/>
    <w:uiPriority w:val="99"/>
    <w:rsid w:val="006B6119"/>
    <w:pPr>
      <w:spacing w:after="0" w:line="240" w:lineRule="auto"/>
    </w:pPr>
    <w:tblPr>
      <w:tblCellMar>
        <w:left w:w="0" w:type="dxa"/>
        <w:right w:w="0" w:type="dxa"/>
      </w:tblCellMar>
    </w:tblPr>
  </w:style>
  <w:style w:type="paragraph" w:customStyle="1" w:styleId="ManNum1">
    <w:name w:val="ManNum1"/>
    <w:basedOn w:val="Normal"/>
    <w:uiPriority w:val="5"/>
    <w:qFormat/>
    <w:rsid w:val="006B6119"/>
    <w:pPr>
      <w:tabs>
        <w:tab w:val="left" w:pos="1278"/>
      </w:tabs>
      <w:spacing w:after="120" w:line="240" w:lineRule="auto"/>
      <w:ind w:left="1278" w:hanging="568"/>
      <w:jc w:val="left"/>
    </w:pPr>
    <w:rPr>
      <w:rFonts w:asciiTheme="minorHAnsi" w:eastAsiaTheme="minorHAnsi" w:hAnsiTheme="minorHAnsi" w:cstheme="minorBidi"/>
      <w:sz w:val="22"/>
      <w:szCs w:val="22"/>
    </w:rPr>
  </w:style>
  <w:style w:type="paragraph" w:customStyle="1" w:styleId="ManNum2">
    <w:name w:val="ManNum2"/>
    <w:basedOn w:val="Normal"/>
    <w:uiPriority w:val="5"/>
    <w:qFormat/>
    <w:rsid w:val="006B6119"/>
    <w:pPr>
      <w:tabs>
        <w:tab w:val="left" w:pos="1846"/>
      </w:tabs>
      <w:spacing w:after="120" w:line="240" w:lineRule="auto"/>
      <w:ind w:left="1846" w:hanging="568"/>
      <w:jc w:val="left"/>
    </w:pPr>
    <w:rPr>
      <w:rFonts w:asciiTheme="minorHAnsi" w:eastAsiaTheme="minorHAnsi" w:hAnsiTheme="minorHAnsi" w:cstheme="minorBidi"/>
      <w:sz w:val="22"/>
      <w:szCs w:val="22"/>
    </w:rPr>
  </w:style>
  <w:style w:type="paragraph" w:customStyle="1" w:styleId="ManNum3">
    <w:name w:val="ManNum3"/>
    <w:basedOn w:val="Normal"/>
    <w:uiPriority w:val="5"/>
    <w:qFormat/>
    <w:rsid w:val="006B6119"/>
    <w:pPr>
      <w:tabs>
        <w:tab w:val="left" w:pos="2414"/>
      </w:tabs>
      <w:spacing w:after="120" w:line="240" w:lineRule="auto"/>
      <w:ind w:left="2414" w:hanging="568"/>
      <w:jc w:val="left"/>
    </w:pPr>
    <w:rPr>
      <w:rFonts w:asciiTheme="minorHAnsi" w:eastAsiaTheme="minorHAnsi" w:hAnsiTheme="minorHAnsi" w:cstheme="minorBidi"/>
      <w:sz w:val="22"/>
      <w:szCs w:val="22"/>
    </w:rPr>
  </w:style>
  <w:style w:type="paragraph" w:customStyle="1" w:styleId="ResetPara">
    <w:name w:val="ResetPara"/>
    <w:next w:val="BodyText"/>
    <w:uiPriority w:val="99"/>
    <w:qFormat/>
    <w:rsid w:val="0019250F"/>
    <w:pPr>
      <w:keepNext/>
      <w:numPr>
        <w:numId w:val="12"/>
      </w:numPr>
      <w:spacing w:after="0" w:line="240" w:lineRule="auto"/>
    </w:pPr>
    <w:rPr>
      <w:rFonts w:eastAsiaTheme="majorEastAsia" w:cstheme="majorBidi"/>
      <w:color w:val="FF0000"/>
      <w:sz w:val="8"/>
      <w:szCs w:val="32"/>
    </w:rPr>
  </w:style>
  <w:style w:type="paragraph" w:customStyle="1" w:styleId="SchedHdg1">
    <w:name w:val="SchedHdg 1"/>
    <w:next w:val="ResetPara"/>
    <w:uiPriority w:val="8"/>
    <w:qFormat/>
    <w:rsid w:val="006B6119"/>
    <w:pPr>
      <w:numPr>
        <w:ilvl w:val="1"/>
        <w:numId w:val="13"/>
      </w:numPr>
      <w:outlineLvl w:val="0"/>
    </w:pPr>
    <w:rPr>
      <w:rFonts w:asciiTheme="majorHAnsi" w:hAnsiTheme="majorHAnsi"/>
      <w:b/>
      <w:color w:val="1E4164" w:themeColor="accent6"/>
      <w:sz w:val="24"/>
    </w:rPr>
  </w:style>
  <w:style w:type="paragraph" w:customStyle="1" w:styleId="SchedHdg2">
    <w:name w:val="SchedHdg 2"/>
    <w:next w:val="ResetPara"/>
    <w:uiPriority w:val="8"/>
    <w:qFormat/>
    <w:rsid w:val="006B6119"/>
    <w:pPr>
      <w:numPr>
        <w:ilvl w:val="2"/>
        <w:numId w:val="13"/>
      </w:numPr>
      <w:outlineLvl w:val="1"/>
    </w:pPr>
    <w:rPr>
      <w:rFonts w:asciiTheme="majorHAnsi" w:hAnsiTheme="majorHAnsi"/>
      <w:b/>
      <w:color w:val="1E4164" w:themeColor="accent6"/>
      <w:sz w:val="20"/>
    </w:rPr>
  </w:style>
  <w:style w:type="paragraph" w:customStyle="1" w:styleId="ScheduleSection">
    <w:name w:val="ScheduleSection"/>
    <w:basedOn w:val="Normal"/>
    <w:next w:val="ResetPara"/>
    <w:uiPriority w:val="8"/>
    <w:qFormat/>
    <w:rsid w:val="006B6119"/>
    <w:pPr>
      <w:numPr>
        <w:numId w:val="13"/>
      </w:numPr>
      <w:spacing w:after="120" w:line="240" w:lineRule="auto"/>
      <w:jc w:val="left"/>
      <w:outlineLvl w:val="0"/>
    </w:pPr>
    <w:rPr>
      <w:rFonts w:asciiTheme="majorHAnsi" w:eastAsiaTheme="minorHAnsi" w:hAnsiTheme="majorHAnsi" w:cstheme="minorBidi"/>
      <w:b/>
      <w:caps/>
      <w:color w:val="1E4164" w:themeColor="accent6"/>
      <w:sz w:val="22"/>
      <w:szCs w:val="22"/>
    </w:rPr>
  </w:style>
  <w:style w:type="paragraph" w:customStyle="1" w:styleId="TxtFlw0">
    <w:name w:val="TxtFlw0"/>
    <w:basedOn w:val="Normal"/>
    <w:qFormat/>
    <w:rsid w:val="006B6119"/>
    <w:pPr>
      <w:spacing w:after="120" w:line="240" w:lineRule="auto"/>
      <w:ind w:left="710"/>
      <w:jc w:val="left"/>
    </w:pPr>
    <w:rPr>
      <w:rFonts w:asciiTheme="minorHAnsi" w:eastAsiaTheme="minorHAnsi" w:hAnsiTheme="minorHAnsi" w:cstheme="minorBidi"/>
      <w:szCs w:val="22"/>
    </w:rPr>
  </w:style>
  <w:style w:type="paragraph" w:customStyle="1" w:styleId="TxtNum1">
    <w:name w:val="TxtNum1"/>
    <w:basedOn w:val="Normal"/>
    <w:qFormat/>
    <w:rsid w:val="006B6119"/>
    <w:pPr>
      <w:tabs>
        <w:tab w:val="num" w:pos="1276"/>
      </w:tabs>
      <w:spacing w:after="120" w:line="240" w:lineRule="auto"/>
      <w:ind w:left="1276" w:hanging="567"/>
      <w:jc w:val="left"/>
    </w:pPr>
    <w:rPr>
      <w:rFonts w:asciiTheme="minorHAnsi" w:eastAsiaTheme="minorHAnsi" w:hAnsiTheme="minorHAnsi" w:cstheme="minorBidi"/>
      <w:sz w:val="22"/>
      <w:szCs w:val="22"/>
    </w:rPr>
  </w:style>
  <w:style w:type="paragraph" w:customStyle="1" w:styleId="TxtNum2">
    <w:name w:val="TxtNum2"/>
    <w:basedOn w:val="Normal"/>
    <w:qFormat/>
    <w:rsid w:val="006B6119"/>
    <w:pPr>
      <w:tabs>
        <w:tab w:val="num" w:pos="1843"/>
      </w:tabs>
      <w:spacing w:after="120" w:line="240" w:lineRule="auto"/>
      <w:ind w:left="1843" w:hanging="567"/>
      <w:jc w:val="left"/>
    </w:pPr>
    <w:rPr>
      <w:rFonts w:asciiTheme="minorHAnsi" w:eastAsiaTheme="minorHAnsi" w:hAnsiTheme="minorHAnsi" w:cstheme="minorBidi"/>
      <w:sz w:val="22"/>
      <w:szCs w:val="22"/>
    </w:rPr>
  </w:style>
  <w:style w:type="paragraph" w:customStyle="1" w:styleId="TxtNum3">
    <w:name w:val="TxtNum3"/>
    <w:basedOn w:val="Normal"/>
    <w:qFormat/>
    <w:rsid w:val="006B6119"/>
    <w:pPr>
      <w:tabs>
        <w:tab w:val="num" w:pos="1843"/>
      </w:tabs>
      <w:spacing w:after="120" w:line="240" w:lineRule="auto"/>
      <w:ind w:left="2410" w:hanging="567"/>
      <w:jc w:val="left"/>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066795"/>
    <w:rPr>
      <w:color w:val="4F8CCA" w:themeColor="followedHyperlink"/>
      <w:u w:val="single"/>
    </w:rPr>
  </w:style>
  <w:style w:type="paragraph" w:styleId="Revision">
    <w:name w:val="Revision"/>
    <w:hidden/>
    <w:uiPriority w:val="99"/>
    <w:semiHidden/>
    <w:rsid w:val="00E07481"/>
    <w:pPr>
      <w:spacing w:after="0" w:line="240" w:lineRule="auto"/>
    </w:pPr>
    <w:rPr>
      <w:rFonts w:ascii="Arial" w:eastAsia="Calibri"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emo.com.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mailto:info@aemo.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6.png"/><Relationship Id="rId4"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AEMOCustodian xmlns="a14523ce-dede-483e-883a-2d83261080bd">
      <UserInfo>
        <DisplayName>Mark Miller</DisplayName>
        <AccountId>1194</AccountId>
        <AccountType/>
      </UserInfo>
    </AEMOCustodian>
    <ArchiveDocument xmlns="a14523ce-dede-483e-883a-2d83261080bd">false</ArchiveDocument>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AEMOKeywordsTaxHTField0 xmlns="a14523ce-dede-483e-883a-2d83261080bd">
      <Terms xmlns="http://schemas.microsoft.com/office/infopath/2007/PartnerControls">
        <TermInfo xmlns="http://schemas.microsoft.com/office/infopath/2007/PartnerControls">
          <TermName xmlns="http://schemas.microsoft.com/office/infopath/2007/PartnerControls">Reliability</TermName>
          <TermId xmlns="http://schemas.microsoft.com/office/infopath/2007/PartnerControls">8222f0f8-c368-49be-9525-29ec16c8ec1d</TermId>
        </TermInfo>
        <TermInfo xmlns="http://schemas.microsoft.com/office/infopath/2007/PartnerControls">
          <TermName xmlns="http://schemas.microsoft.com/office/infopath/2007/PartnerControls">NEM</TermName>
          <TermId xmlns="http://schemas.microsoft.com/office/infopath/2007/PartnerControls">68192f6e-f07c-4e41-9e4f-3363a5e56cc8</TermId>
        </TermInfo>
      </Terms>
    </AEMOKeywordsTaxHTField0>
    <TaxCatchAll xmlns="a14523ce-dede-483e-883a-2d83261080bd">
      <Value>68</Value>
      <Value>3</Value>
      <Value>30</Value>
    </TaxCatchAll>
    <AEMODescription xmlns="a14523ce-dede-483e-883a-2d83261080bd">LOR Contingency List V1 20 December 17</AEMODescription>
    <_dlc_DocId xmlns="a14523ce-dede-483e-883a-2d83261080bd">POWERSYSOPS-6-4996</_dlc_DocId>
    <_dlc_DocIdUrl xmlns="a14523ce-dede-483e-883a-2d83261080bd">
      <Url>http://sharedocs/sites/pso/_layouts/15/DocIdRedir.aspx?ID=POWERSYSOPS-6-4996</Url>
      <Description>POWERSYSOPS-6-4996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AEMODocument" ma:contentTypeID="0x0101009BE89D58CAF0934CA32A20BCFFD353DC006B6C6D69D9C13F4DA47DED36ADA5D1DF" ma:contentTypeVersion="54" ma:contentTypeDescription="" ma:contentTypeScope="" ma:versionID="bf365492bd3d2ad46baeada14f2dc3a5">
  <xsd:schema xmlns:xsd="http://www.w3.org/2001/XMLSchema" xmlns:xs="http://www.w3.org/2001/XMLSchema" xmlns:p="http://schemas.microsoft.com/office/2006/metadata/properties" xmlns:ns2="a14523ce-dede-483e-883a-2d83261080bd" targetNamespace="http://schemas.microsoft.com/office/2006/metadata/properties" ma:root="true" ma:fieldsID="8e801314ae0d6bbc1400a46d96eb6ca0"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a0e1bd3a-0738-442e-b92a-648386ea248f}" ma:internalName="TaxCatchAll" ma:showField="CatchAllData" ma:web="36a0d0ce-308f-4bd7-8296-808ef7dd7305">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0e1bd3a-0738-442e-b92a-648386ea248f}" ma:internalName="TaxCatchAllLabel" ma:readOnly="true" ma:showField="CatchAllDataLabel" ma:web="36a0d0ce-308f-4bd7-8296-808ef7dd7305">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3;#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409ac0fb-07cb-4169-8a26-def2760b5502" ContentTypeId="0x0101009BE89D58CAF0934CA32A20BCFFD353DC"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3B086-CFDB-48D2-91C1-FA0F3B38C44C}">
  <ds:schemaRefs>
    <ds:schemaRef ds:uri="http://schemas.microsoft.com/office/2006/metadata/customXsn"/>
  </ds:schemaRefs>
</ds:datastoreItem>
</file>

<file path=customXml/itemProps2.xml><?xml version="1.0" encoding="utf-8"?>
<ds:datastoreItem xmlns:ds="http://schemas.openxmlformats.org/officeDocument/2006/customXml" ds:itemID="{61633BED-5CCB-4E16-9F2B-A8AC0A917E8C}">
  <ds:schemaRefs>
    <ds:schemaRef ds:uri="http://schemas.microsoft.com/office/2006/metadata/properties"/>
    <ds:schemaRef ds:uri="http://schemas.microsoft.com/office/infopath/2007/PartnerControls"/>
    <ds:schemaRef ds:uri="a14523ce-dede-483e-883a-2d83261080bd"/>
  </ds:schemaRefs>
</ds:datastoreItem>
</file>

<file path=customXml/itemProps3.xml><?xml version="1.0" encoding="utf-8"?>
<ds:datastoreItem xmlns:ds="http://schemas.openxmlformats.org/officeDocument/2006/customXml" ds:itemID="{06B9AE72-8016-42EF-AADB-894394EDAB9E}">
  <ds:schemaRefs>
    <ds:schemaRef ds:uri="http://schemas.microsoft.com/sharepoint/v3/contenttype/forms"/>
  </ds:schemaRefs>
</ds:datastoreItem>
</file>

<file path=customXml/itemProps4.xml><?xml version="1.0" encoding="utf-8"?>
<ds:datastoreItem xmlns:ds="http://schemas.openxmlformats.org/officeDocument/2006/customXml" ds:itemID="{9696CA7F-0715-4622-A761-911946CA247B}">
  <ds:schemaRefs>
    <ds:schemaRef ds:uri="http://schemas.microsoft.com/sharepoint/events"/>
  </ds:schemaRefs>
</ds:datastoreItem>
</file>

<file path=customXml/itemProps5.xml><?xml version="1.0" encoding="utf-8"?>
<ds:datastoreItem xmlns:ds="http://schemas.openxmlformats.org/officeDocument/2006/customXml" ds:itemID="{96ACEAC6-BEAF-4C35-B448-47BD5A04C95C}"/>
</file>

<file path=customXml/itemProps6.xml><?xml version="1.0" encoding="utf-8"?>
<ds:datastoreItem xmlns:ds="http://schemas.openxmlformats.org/officeDocument/2006/customXml" ds:itemID="{6E989458-ADC1-432C-9DF7-36C9829D8B80}">
  <ds:schemaRefs>
    <ds:schemaRef ds:uri="Microsoft.SharePoint.Taxonomy.ContentTypeSync"/>
  </ds:schemaRefs>
</ds:datastoreItem>
</file>

<file path=customXml/itemProps7.xml><?xml version="1.0" encoding="utf-8"?>
<ds:datastoreItem xmlns:ds="http://schemas.openxmlformats.org/officeDocument/2006/customXml" ds:itemID="{D4F8BE8A-108B-4FD4-A399-D573213D0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120BF420</Template>
  <TotalTime>0</TotalTime>
  <Pages>8</Pages>
  <Words>1342</Words>
  <Characters>7650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External Procedures Template Mar 2015</vt:lpstr>
    </vt:vector>
  </TitlesOfParts>
  <Company/>
  <LinksUpToDate>false</LinksUpToDate>
  <CharactersWithSpaces>8975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Procedures Template Mar 2015</dc:title>
  <dc:creator>AEMO</dc:creator>
  <cp:lastModifiedBy>Mark Miller</cp:lastModifiedBy>
  <cp:revision>2</cp:revision>
  <cp:lastPrinted>2017-10-16T01:24:00Z</cp:lastPrinted>
  <dcterms:created xsi:type="dcterms:W3CDTF">2017-12-19T05:17:00Z</dcterms:created>
  <dcterms:modified xsi:type="dcterms:W3CDTF">2017-12-19T05:17:00Z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0x0101009BE89D58CAF0934CA32A20BCFFD353DC006B6C6D69D9C13F4DA47DED36ADA5D1DF</vt:lpwstr>
  </property>
  <property fmtid="{D5CDD505-2E9C-101B-9397-08002B2CF9AE}" pid="3" name="_dlc_DocIdItemGuid">
    <vt:lpwstr>4b170840-c586-4ba8-8b17-bb9cdca30942</vt:lpwstr>
  </property>
  <property fmtid="{D5CDD505-2E9C-101B-9397-08002B2CF9AE}" pid="4" name="AEMODocumentType">
    <vt:lpwstr>3;#Operational Record|859762f2-4462-42eb-9744-c955c7e2c540</vt:lpwstr>
  </property>
  <property fmtid="{D5CDD505-2E9C-101B-9397-08002B2CF9AE}" pid="5" name="AEMOKeywords0">
    <vt:lpwstr/>
  </property>
  <property fmtid="{D5CDD505-2E9C-101B-9397-08002B2CF9AE}" pid="6" name="Order">
    <vt:r8>17300</vt:r8>
  </property>
  <property fmtid="{D5CDD505-2E9C-101B-9397-08002B2CF9AE}" pid="7" name="AEMOKeywords">
    <vt:lpwstr>68;#Reliability|8222f0f8-c368-49be-9525-29ec16c8ec1d;#30;#NEM|68192f6e-f07c-4e41-9e4f-3363a5e56cc8</vt:lpwstr>
  </property>
</Properties>
</file>